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Pharmaceutical — Regulatory Affairs Manual</w:t>
      </w:r>
    </w:p>
    <w:p>
      <w:r>
        <w:rPr>
          <w:i/>
        </w:rPr>
        <w:t>Document owner: Pharmaceutical Group Office</w:t>
      </w:r>
      <w:r>
        <w:rPr>
          <w:i/>
        </w:rPr>
        <w:t xml:space="preserve"> · Version: FY2025-A</w:t>
      </w:r>
    </w:p>
    <w:p>
      <w:pPr>
        <w:pStyle w:val="Heading1"/>
      </w:pPr>
      <w:r>
        <w:t>1. Executive Summary</w:t>
      </w:r>
    </w:p>
    <w:p>
      <w:r>
        <w:t>MOH launch window tightens as approval queries rise and supply KPIs weaken.</w:t>
      </w:r>
    </w:p>
    <w:p>
      <w:r>
        <w:t>This regulatory affairs manual is grounded on the FY2025 working dataset for Pharmaceutical and informs the Board, the regulator, and the operating committee of the corrective actions agreed under the recovery plan.</w:t>
      </w:r>
    </w:p>
    <w:p>
      <w:pPr>
        <w:pStyle w:val="Heading1"/>
      </w:pPr>
      <w:r>
        <w:t>2. Scenario &amp; Background</w:t>
      </w:r>
    </w:p>
    <w:p>
      <w:r>
        <w:t>Zava Pharma Malaysia manufactures branded generics and specialty therapies from Johor and distributes across Malaysia and Indonesia through a BPOM-registered affiliate. The Product Revenue sheet shows the top five molecules still driving 63% of sales, but margin pressure is emerging as tender pricing softens and freight inflation pushes landed cost higher. In the R&amp;D Pipeline Tracker sheet, three late-stage assets are clustered into a 14-month window, creating portfolio concentration risk if any filing slips. The Regulatory Approval Log shows multiple agency questions outstanding, including two Malaysian MOH-related label clarifications and one BPOM chemistry query that is delaying the Indonesian launch bridge. Supply Chain KPIs indicate fill rate has fallen to 93% against a 97% target, with service failures concentrated in two temperature-sensitive SKUs. Leadership needs to align HC-style quality language in PH_02_Regulatory_Affairs_Manual.docx with the execution cadence in PH_03_Clinical_Trials_Protocol.docx before the next Audit Committee review. The Indonesian team is also preparing Kemenkes and BPOM stakeholder messaging should the flagship diabetes launch move by another quarter.</w:t>
      </w:r>
    </w:p>
    <w:p>
      <w:r>
        <w:t>The team has triangulated Pharmaceutical's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Pharmaceutical as it stands on the working dataset for this regulatory affairs manual. Reference figures and supporting tabs are stored alongside this document in the Group repository under the PHARMACEUTICAL folder.</w:t>
      </w:r>
    </w:p>
    <w:p>
      <w:pPr>
        <w:pStyle w:val="Heading2"/>
      </w:pPr>
      <w:r>
        <w:t>3.2 Key drivers</w:t>
      </w:r>
    </w:p>
    <w:p>
      <w:r>
        <w:t>Key drivers for Pharmaceutical as it stands on the working dataset for this regulatory affairs manual. Reference figures and supporting tabs are stored alongside this document in the Group repository under the PHARMACEUTICAL folder.</w:t>
      </w:r>
    </w:p>
    <w:p>
      <w:pPr>
        <w:pStyle w:val="Heading2"/>
      </w:pPr>
      <w:r>
        <w:t>3.3 Sensitivities and assumptions</w:t>
      </w:r>
    </w:p>
    <w:p>
      <w:r>
        <w:t>Sensitivities and assumptions for Pharmaceutical as it stands on the working dataset for this regulatory affairs manual. Reference figures and supporting tabs are stored alongside this document in the Group repository under the PHARMACEUTICAL folder.</w:t>
      </w:r>
    </w:p>
    <w:p>
      <w:pPr>
        <w:pStyle w:val="Heading2"/>
      </w:pPr>
      <w:r>
        <w:t>3.4 Open issues and unknowns</w:t>
      </w:r>
    </w:p>
    <w:p>
      <w:r>
        <w:t>Open issues and unknowns for Pharmaceutical as it stands on the working dataset for this regulatory affairs manual. Reference figures and supporting tabs are stored alongside this document in the Group repository under the PHARMACEUTICAL folder.</w:t>
      </w:r>
    </w:p>
    <w:p>
      <w:pPr>
        <w:pStyle w:val="Heading1"/>
      </w:pPr>
      <w:r>
        <w:t>4. Recommended Actions</w:t>
      </w:r>
    </w:p>
    <w:p>
      <w:pPr>
        <w:pStyle w:val="ListBullet"/>
      </w:pPr>
      <w:r>
        <w:t>Confirm the regulatory affairs manual narrative with the Pharmaceutical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PH_01_Drug_Portfolio.xlsx</w:t>
      </w:r>
    </w:p>
    <w:p>
      <w:pPr>
        <w:pStyle w:val="ListBullet"/>
      </w:pPr>
      <w:r>
        <w:t>PH_02_Regulatory_Affairs_Manual.docx</w:t>
      </w:r>
    </w:p>
    <w:p>
      <w:pPr>
        <w:pStyle w:val="ListBullet"/>
      </w:pPr>
      <w:r>
        <w:t>PH_03_Clinical_Trials_Protocol.docx</w:t>
      </w:r>
    </w:p>
    <w:p>
      <w:pPr>
        <w:pStyle w:val="ListBullet"/>
      </w:pPr>
      <w:r>
        <w:t>PH_04_BPOM_Submission_Tracker.xlsx</w:t>
      </w:r>
    </w:p>
    <w:p>
      <w:pPr>
        <w:pStyle w:val="ListBullet"/>
      </w:pPr>
      <w:r>
        <w:t>PH_05_Halal_MUI_Certification.docx</w:t>
      </w:r>
    </w:p>
    <w:p>
      <w:pPr>
        <w:pStyle w:val="ListBullet"/>
      </w:pPr>
      <w:r>
        <w:t>PH_06_Cold_Chain_Distribution.xlsx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