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Plantation &amp; Agribusiness — MSPO Certification Manual</w:t>
      </w:r>
    </w:p>
    <w:p>
      <w:r>
        <w:rPr>
          <w:i/>
        </w:rPr>
        <w:t>Document owner: Plantation &amp; Agribusiness Group Office</w:t>
      </w:r>
      <w:r>
        <w:rPr>
          <w:i/>
        </w:rPr>
        <w:t xml:space="preserve"> · Version: FY2025-A</w:t>
      </w:r>
    </w:p>
    <w:p>
      <w:pPr>
        <w:pStyle w:val="Heading1"/>
      </w:pPr>
      <w:r>
        <w:t>1. Executive Summary</w:t>
      </w:r>
    </w:p>
    <w:p>
      <w:r>
        <w:t>Yield down 11%, RSPO surveillance flags 9 majors — Board capex decision in 7 days.</w:t>
      </w:r>
    </w:p>
    <w:p>
      <w:r>
        <w:t>This mspo certification manual is grounded on the FY2025 working dataset for Plantation &amp; Agribusiness and informs the Board, the regulator, and the operating committee of the corrective actions agreed under the recovery plan.</w:t>
      </w:r>
    </w:p>
    <w:p>
      <w:pPr>
        <w:pStyle w:val="Heading1"/>
      </w:pPr>
      <w:r>
        <w:t>2. Scenario &amp; Background</w:t>
      </w:r>
    </w:p>
    <w:p>
      <w:r>
        <w:t>Zava Plantation Indonesia operates 142,000 hectares of palm estates across Sabah, Riau, and Kalimantan with 14,800 employees, 7 mills, and 1 refinery (operating similarly to **Kuala Lumpur Kepong (KLK)**, Sime Darby Plantation, IOI Corporation, and Genting Plantations on the Malaysian side; Astra Agro Lestari and Wilmar International on the Indonesian side). FFB yield has slipped 11% below plan over 3 quarters, the RSPO surveillance audit identified 9 major non-conformities, and KLHK has issued a follow-up letter on land-use disclosures. Two German and one Dutch premium buyer have flagged that contract renewals are conditional on a credible 90-day remediation plan. The Board meets in 7 days to decide whether to defer FY2026 capex on the Riau refinery expansion and how to communicate certification gaps to ISPO and Kementerian Pertanian without triggering market-access escalation.</w:t>
      </w:r>
    </w:p>
    <w:p>
      <w:r>
        <w:t>The team has triangulated Plantation &amp; Agribusiness's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Plantation &amp; Agribusiness as it stands on the working dataset for this mspo certification manual. Reference figures and supporting tabs are stored alongside this document in the Group repository under the PLANTATION folder.</w:t>
      </w:r>
    </w:p>
    <w:p>
      <w:pPr>
        <w:pStyle w:val="Heading2"/>
      </w:pPr>
      <w:r>
        <w:t>3.2 Key drivers</w:t>
      </w:r>
    </w:p>
    <w:p>
      <w:r>
        <w:t>Key drivers for Plantation &amp; Agribusiness as it stands on the working dataset for this mspo certification manual. Reference figures and supporting tabs are stored alongside this document in the Group repository under the PLANTATION folder.</w:t>
      </w:r>
    </w:p>
    <w:p>
      <w:pPr>
        <w:pStyle w:val="Heading2"/>
      </w:pPr>
      <w:r>
        <w:t>3.3 Sensitivities and assumptions</w:t>
      </w:r>
    </w:p>
    <w:p>
      <w:r>
        <w:t>Sensitivities and assumptions for Plantation &amp; Agribusiness as it stands on the working dataset for this mspo certification manual. Reference figures and supporting tabs are stored alongside this document in the Group repository under the PLANTATION folder.</w:t>
      </w:r>
    </w:p>
    <w:p>
      <w:pPr>
        <w:pStyle w:val="Heading2"/>
      </w:pPr>
      <w:r>
        <w:t>3.4 Open issues and unknowns</w:t>
      </w:r>
    </w:p>
    <w:p>
      <w:r>
        <w:t>Open issues and unknowns for Plantation &amp; Agribusiness as it stands on the working dataset for this mspo certification manual. Reference figures and supporting tabs are stored alongside this document in the Group repository under the PLANTATION folder.</w:t>
      </w:r>
    </w:p>
    <w:p>
      <w:pPr>
        <w:pStyle w:val="Heading1"/>
      </w:pPr>
      <w:r>
        <w:t>4. Recommended Actions</w:t>
      </w:r>
    </w:p>
    <w:p>
      <w:pPr>
        <w:pStyle w:val="ListBullet"/>
      </w:pPr>
      <w:r>
        <w:t>Confirm the mspo certification manual narrative with the Plantation &amp; Agribusiness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PLT_01_Estate_Operations.xlsx</w:t>
      </w:r>
    </w:p>
    <w:p>
      <w:pPr>
        <w:pStyle w:val="ListBullet"/>
      </w:pPr>
      <w:r>
        <w:t>PLT_02_MSPO_Certification_Manual.docx</w:t>
      </w:r>
    </w:p>
    <w:p>
      <w:pPr>
        <w:pStyle w:val="ListBullet"/>
      </w:pPr>
      <w:r>
        <w:t>PLT_03_Estate_Operations_SOP.docx</w:t>
      </w:r>
    </w:p>
    <w:p>
      <w:pPr>
        <w:pStyle w:val="ListBullet"/>
      </w:pPr>
      <w:r>
        <w:t>PLT_04_Sustainability_Roadmap.xlsx</w:t>
      </w:r>
    </w:p>
    <w:p>
      <w:pPr>
        <w:pStyle w:val="ListBullet"/>
      </w:pPr>
      <w:r>
        <w:t>PLT_05_Buyer_Contracts_Register.xlsx</w:t>
      </w:r>
    </w:p>
    <w:p>
      <w:pPr>
        <w:pStyle w:val="ListBullet"/>
      </w:pPr>
      <w:r>
        <w:t>PLT_06_Board_Briefing_Notes.docx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