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Utilities — Power Generation — Off Taker Negotiation Brief</w:t>
      </w:r>
    </w:p>
    <w:p>
      <w:r>
        <w:rPr>
          <w:i/>
        </w:rPr>
        <w:t>Document owner: Utilities — Power Generation Group Office</w:t>
      </w:r>
      <w:r>
        <w:rPr>
          <w:i/>
        </w:rPr>
        <w:t xml:space="preserve"> · Version: FY2025-A</w:t>
      </w:r>
    </w:p>
    <w:p>
      <w:pPr>
        <w:pStyle w:val="Heading1"/>
      </w:pPr>
      <w:r>
        <w:t>1. Executive Summary</w:t>
      </w:r>
    </w:p>
    <w:p>
      <w:r>
        <w:t>PPA renewal at lower tariff threatens MYR 240M EBITDA + coal-to-renewables 2030 deadline + grid availability liquidated damages — Board in 21 days.</w:t>
      </w:r>
    </w:p>
    <w:p>
      <w:r>
        <w:t>This off taker negotiation brief is grounded on the FY2025 working dataset for Utilities — Power Generation and informs the Board, the regulator, and the operating committee of the corrective actions agreed under the recovery plan.</w:t>
      </w:r>
    </w:p>
    <w:p>
      <w:pPr>
        <w:pStyle w:val="Heading1"/>
      </w:pPr>
      <w:r>
        <w:t>2. Scenario &amp; Background</w:t>
      </w:r>
    </w:p>
    <w:p>
      <w:r>
        <w:t>Zava Power is an ASEAN independent power producer with a 4.2 GW gross portfolio across coal-fired, combined-cycle gas, large-scale solar, hydro and on-grid wind across Malaysia and Indonesia. The group operates under long-dated Power Purchase Agreements (PPAs) with TNB (Malaysia) and PLN Nusantara Power (Indonesia) as primary off-takers. Three pressures converge: (1) the largest coal-fired PPA (1,200 MW) is up for renewal in 14 months at a tariff structure that, under the regulator-imposed levelised cost framework, threatens MYR 240M of FY2027 EBITDA; (2) the Energy Commission Malaysia (Suruhanjaya Tenaga / ST) has codified a coal-to-renewables transition deadline by 2030, requiring MYR 2.1B of capex re-prioritisation across the BESS, large-scale solar and on-grid wind pipelines; (3) two grid-availability events at the Pasir Gudang and Cilegon plants triggered liquidated-damages claims from off-takers totalling MYR 38M YTD with a further MYR 22M contingent. The Group MD needs a Board pack in 21 days covering the PPA renewal model, the plant-availability remediation programme, the coal-to-renewables capex schedule, the ST/MEMR/PLN regulator pack, and the off-taker negotiation brief. Real customer reference frame: this group operates similarly to **TNB**, **YTL Power International**, **Petronas Gas**, **Mega First Corp (MFCB)**, **Cypark Resources**, **Indonesia Power**, **PLN Nusantara Power**, **Cikarang Listrindo**, **Adaro Power**, and **Medco Power** — with regulators including **Energy Commission Malaysia (ST)**, **MEMR (Kementerian ESDM)**, **PLN** (off-taker), and **KeTSA** active concurrently.</w:t>
      </w:r>
    </w:p>
    <w:p>
      <w:r>
        <w:t>The team has triangulated Utilities — Power Generation's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Utilities — Power Generation as it stands on the working dataset for this off taker negotiation brief. Reference figures and supporting tabs are stored alongside this document in the Group repository under the POWER-UTILITIES folder.</w:t>
      </w:r>
    </w:p>
    <w:p>
      <w:pPr>
        <w:pStyle w:val="Heading2"/>
      </w:pPr>
      <w:r>
        <w:t>3.2 Key drivers</w:t>
      </w:r>
    </w:p>
    <w:p>
      <w:r>
        <w:t>Key drivers for Utilities — Power Generation as it stands on the working dataset for this off taker negotiation brief. Reference figures and supporting tabs are stored alongside this document in the Group repository under the POWER-UTILITIES folder.</w:t>
      </w:r>
    </w:p>
    <w:p>
      <w:pPr>
        <w:pStyle w:val="Heading2"/>
      </w:pPr>
      <w:r>
        <w:t>3.3 Sensitivities and assumptions</w:t>
      </w:r>
    </w:p>
    <w:p>
      <w:r>
        <w:t>Sensitivities and assumptions for Utilities — Power Generation as it stands on the working dataset for this off taker negotiation brief. Reference figures and supporting tabs are stored alongside this document in the Group repository under the POWER-UTILITIES folder.</w:t>
      </w:r>
    </w:p>
    <w:p>
      <w:pPr>
        <w:pStyle w:val="Heading2"/>
      </w:pPr>
      <w:r>
        <w:t>3.4 Open issues and unknowns</w:t>
      </w:r>
    </w:p>
    <w:p>
      <w:r>
        <w:t>Open issues and unknowns for Utilities — Power Generation as it stands on the working dataset for this off taker negotiation brief. Reference figures and supporting tabs are stored alongside this document in the Group repository under the POWER-UTILITIES folder.</w:t>
      </w:r>
    </w:p>
    <w:p>
      <w:pPr>
        <w:pStyle w:val="Heading1"/>
      </w:pPr>
      <w:r>
        <w:t>4. Recommended Actions</w:t>
      </w:r>
    </w:p>
    <w:p>
      <w:pPr>
        <w:pStyle w:val="ListBullet"/>
      </w:pPr>
      <w:r>
        <w:t>Confirm the off taker negotiation brief narrative with the Utilities — Power Generation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POW_01_PPA_Renewal_Model.xlsx</w:t>
      </w:r>
    </w:p>
    <w:p>
      <w:pPr>
        <w:pStyle w:val="ListBullet"/>
      </w:pPr>
      <w:r>
        <w:t>POW_02_Plant_Availability_Tracker.xlsx</w:t>
      </w:r>
    </w:p>
    <w:p>
      <w:pPr>
        <w:pStyle w:val="ListBullet"/>
      </w:pPr>
      <w:r>
        <w:t>POW_03_Coal_to_Renewables_Capex.xlsx</w:t>
      </w:r>
    </w:p>
    <w:p>
      <w:pPr>
        <w:pStyle w:val="ListBullet"/>
      </w:pPr>
      <w:r>
        <w:t>POW_04_ST_MEMR_Compliance_Pack.docx</w:t>
      </w:r>
    </w:p>
    <w:p>
      <w:pPr>
        <w:pStyle w:val="ListBullet"/>
      </w:pPr>
      <w:r>
        <w:t>POW_05_Off_Taker_Negotiation_Brief.docx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