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Procurement &amp; Supply Chain — Procurement Policy ABAC Manual</w:t>
      </w:r>
    </w:p>
    <w:p>
      <w:r>
        <w:rPr>
          <w:i/>
        </w:rPr>
        <w:t>Document owner: 🛒 Procurement &amp; Supply Chain Group Office</w:t>
      </w:r>
      <w:r>
        <w:rPr>
          <w:i/>
        </w:rPr>
        <w:t xml:space="preserve"> · Version: FY2025-A</w:t>
      </w:r>
    </w:p>
    <w:p>
      <w:pPr>
        <w:pStyle w:val="Heading1"/>
      </w:pPr>
      <w:r>
        <w:t>1. Executive Summary</w:t>
      </w:r>
    </w:p>
    <w:p>
      <w:r>
        <w:t>Vendor consolidation is behind schedule, three single-source spend categories are above tolerance, and an anti-bribery audit lands in 14 days.</w:t>
      </w:r>
    </w:p>
    <w:p>
      <w:r>
        <w:t>This procurement policy abac manual is grounded on the FY2025 working dataset for 🛒 Procurement &amp; Supply Chain and informs the Board, the regulator, and the operating committee of the corrective actions agreed under the recovery plan.</w:t>
      </w:r>
    </w:p>
    <w:p>
      <w:pPr>
        <w:pStyle w:val="Heading1"/>
      </w:pPr>
      <w:r>
        <w:t>2. Scenario &amp; Background</w:t>
      </w:r>
    </w:p>
    <w:p>
      <w:r>
        <w:t>The Group Procurement Office at Zava is trying to close out the FY2026 vendor-consolidation programme while three single-source categories breach the &gt;70% concentration threshold and an internal anti-bribery &amp; corruption audit kicks off in 14 days. Indirect spend is 8.7% above benchmark across 4 BUs, the consolidation programme has delivered MYR 22M of the targeted MYR 60M savings, and category leads disagree on which single-source positions are strategic vs structural. Leadership wants a single RAG tracker tying spend variance, vendor concentration, and ABAC compliance together, and the Procurement Steering Committee in 14 days needs a sharper line of sight from category-level concentration risk to remediation owner, ahead of where the Group CFO will probe sourcing-discipline commitments.</w:t>
      </w:r>
    </w:p>
    <w:p>
      <w:r>
        <w:t>The team has triangulated 🛒 Procurement &amp; Supply Chain's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Procurement &amp; Supply Chain as it stands on the working dataset for this procurement policy abac manual. Reference figures and supporting tabs are stored alongside this document in the Group repository under the DEPT-PROCUREMENT folder.</w:t>
      </w:r>
    </w:p>
    <w:p>
      <w:pPr>
        <w:pStyle w:val="Heading2"/>
      </w:pPr>
      <w:r>
        <w:t>3.2 Key drivers</w:t>
      </w:r>
    </w:p>
    <w:p>
      <w:r>
        <w:t>Key drivers for 🛒 Procurement &amp; Supply Chain as it stands on the working dataset for this procurement policy abac manual. Reference figures and supporting tabs are stored alongside this document in the Group repository under the DEPT-PROCUREMENT folder.</w:t>
      </w:r>
    </w:p>
    <w:p>
      <w:pPr>
        <w:pStyle w:val="Heading2"/>
      </w:pPr>
      <w:r>
        <w:t>3.3 Sensitivities and assumptions</w:t>
      </w:r>
    </w:p>
    <w:p>
      <w:r>
        <w:t>Sensitivities and assumptions for 🛒 Procurement &amp; Supply Chain as it stands on the working dataset for this procurement policy abac manual. Reference figures and supporting tabs are stored alongside this document in the Group repository under the DEPT-PROCUREMENT folder.</w:t>
      </w:r>
    </w:p>
    <w:p>
      <w:pPr>
        <w:pStyle w:val="Heading2"/>
      </w:pPr>
      <w:r>
        <w:t>3.4 Open issues and unknowns</w:t>
      </w:r>
    </w:p>
    <w:p>
      <w:r>
        <w:t>Open issues and unknowns for 🛒 Procurement &amp; Supply Chain as it stands on the working dataset for this procurement policy abac manual. Reference figures and supporting tabs are stored alongside this document in the Group repository under the DEPT-PROCUREMENT folder.</w:t>
      </w:r>
    </w:p>
    <w:p>
      <w:pPr>
        <w:pStyle w:val="Heading1"/>
      </w:pPr>
      <w:r>
        <w:t>4. Recommended Actions</w:t>
      </w:r>
    </w:p>
    <w:p>
      <w:pPr>
        <w:pStyle w:val="ListBullet"/>
      </w:pPr>
      <w:r>
        <w:t>Confirm the procurement policy abac manual narrative with the 🛒 Procurement &amp; Supply Chain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PROC_01_Spend_Cube_Tracker.xlsx</w:t>
      </w:r>
    </w:p>
    <w:p>
      <w:pPr>
        <w:pStyle w:val="ListBullet"/>
      </w:pPr>
      <w:r>
        <w:t>PROC_02_Vendor_Consolidation_Tracker.xlsx</w:t>
      </w:r>
    </w:p>
    <w:p>
      <w:pPr>
        <w:pStyle w:val="ListBullet"/>
      </w:pPr>
      <w:r>
        <w:t>PROC_03_Procurement_Policy_ABAC_Manual.docx</w:t>
      </w:r>
    </w:p>
    <w:p>
      <w:pPr>
        <w:pStyle w:val="ListBullet"/>
      </w:pPr>
      <w:r>
        <w:t>PROC_04_Vendor_Consolidation_Playbook.docx</w:t>
      </w:r>
    </w:p>
    <w:p>
      <w:pPr>
        <w:pStyle w:val="ListBullet"/>
      </w:pPr>
      <w:r>
        <w:t>PROC_05_Single_Source_Risk_Register.docx</w:t>
      </w:r>
    </w:p>
    <w:p>
      <w:pPr>
        <w:pStyle w:val="ListBullet"/>
      </w:pPr>
      <w:r>
        <w:t>PROC_06_ABAC_Audit_Prep.docx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