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Property &amp; REIT — REIT Distribution Policy</w:t>
      </w:r>
    </w:p>
    <w:p>
      <w:r>
        <w:rPr>
          <w:i/>
        </w:rPr>
        <w:t>Document owner: Property &amp; REIT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Three flagship developments slip, REIT NAV gap widens, and Bursa needs a clarification by Friday.</w:t>
      </w:r>
    </w:p>
    <w:p>
      <w:r>
        <w:t>This reit distribution policy is grounded on the FY2025 working dataset for Property &amp; REIT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Zava REIT Malaysia is a Malaysian property and REIT group listed on Bursa Malaysia (operating similarly to **SP Setia**, **MRCB**, IOI Properties, Sunway Property, and IGB REIT), with five flagship developments in Klang Valley and Penang, three retail malls under management, and a sponsored REIT (Aman Jaya REIT) holding RM4.8 billion of office and retail assets. FY2025 unbilled sales fell 22% against budget, three flagship projects are now slipping past their handover dates, occupancy at two malls dropped below 82%, and the REIT NAV gap to peers widened by 14% over the last two quarters. Bursa Malaysia has requested a clarification on revenue recognition timing, lenders have flagged covenant headroom, and unit-holders of Aman Jaya REIT are pressing for a clearer distribution outlook. The Group MD walks into a Board strategy review in 72 hours and needs a defensible briefing pack, project-by-project variance analysis, lender and regulator holding lines, mall occupancy recovery options, and a 60-day corrective programme for both the developer and the REIT.</w:t>
      </w:r>
    </w:p>
    <w:p>
      <w:r>
        <w:t>The team has triangulated Property &amp; REIT's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Property &amp; REIT as it stands on the working dataset for this reit distribution policy. Reference figures and supporting tabs are stored alongside this document in the Group repository under the PROPERTY-REIT folder.</w:t>
      </w:r>
    </w:p>
    <w:p>
      <w:pPr>
        <w:pStyle w:val="Heading2"/>
      </w:pPr>
      <w:r>
        <w:t>3.2 Key drivers</w:t>
      </w:r>
    </w:p>
    <w:p>
      <w:r>
        <w:t>Key drivers for Property &amp; REIT as it stands on the working dataset for this reit distribution policy. Reference figures and supporting tabs are stored alongside this document in the Group repository under the PROPERTY-REIT folder.</w:t>
      </w:r>
    </w:p>
    <w:p>
      <w:pPr>
        <w:pStyle w:val="Heading2"/>
      </w:pPr>
      <w:r>
        <w:t>3.3 Sensitivities and assumptions</w:t>
      </w:r>
    </w:p>
    <w:p>
      <w:r>
        <w:t>Sensitivities and assumptions for Property &amp; REIT as it stands on the working dataset for this reit distribution policy. Reference figures and supporting tabs are stored alongside this document in the Group repository under the PROPERTY-REIT folder.</w:t>
      </w:r>
    </w:p>
    <w:p>
      <w:pPr>
        <w:pStyle w:val="Heading2"/>
      </w:pPr>
      <w:r>
        <w:t>3.4 Open issues and unknowns</w:t>
      </w:r>
    </w:p>
    <w:p>
      <w:r>
        <w:t>Open issues and unknowns for Property &amp; REIT as it stands on the working dataset for this reit distribution policy. Reference figures and supporting tabs are stored alongside this document in the Group repository under the PROPERTY-REIT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reit distribution policy narrative with the Property &amp; REIT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PROP_01_Project_Performance.xlsx</w:t>
      </w:r>
    </w:p>
    <w:p>
      <w:pPr>
        <w:pStyle w:val="ListBullet"/>
      </w:pPr>
      <w:r>
        <w:t>PROP_02_REIT_Distribution_Policy.docx</w:t>
      </w:r>
    </w:p>
    <w:p>
      <w:pPr>
        <w:pStyle w:val="ListBullet"/>
      </w:pPr>
      <w:r>
        <w:t>PROP_03_Land_Bank_Strategy.docx</w:t>
      </w:r>
    </w:p>
    <w:p>
      <w:pPr>
        <w:pStyle w:val="ListBullet"/>
      </w:pPr>
      <w:r>
        <w:t>PROP_04_Mall_Tenancy_Tracker.xlsx</w:t>
      </w:r>
    </w:p>
    <w:p>
      <w:pPr>
        <w:pStyle w:val="ListBullet"/>
      </w:pPr>
      <w:r>
        <w:t>PROP_05_Bursa_Disclosure_Pack.docx</w:t>
      </w:r>
    </w:p>
    <w:p>
      <w:pPr>
        <w:pStyle w:val="ListBullet"/>
      </w:pPr>
      <w:r>
        <w:t>PROP_06_Lender_Covenant_Schedule.xlsx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