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Property Development — Bumi Quota Conversion Brief</w:t>
      </w:r>
    </w:p>
    <w:p>
      <w:r>
        <w:rPr>
          <w:i/>
        </w:rPr>
        <w:t>Document owner: Property Development Group Office</w:t>
      </w:r>
      <w:r>
        <w:rPr>
          <w:i/>
        </w:rPr>
        <w:t xml:space="preserve"> · Version: FY2025-A</w:t>
      </w:r>
    </w:p>
    <w:p>
      <w:pPr>
        <w:pStyle w:val="Heading1"/>
      </w:pPr>
      <w:r>
        <w:t>1. Executive Summary</w:t>
      </w:r>
    </w:p>
    <w:p>
      <w:r>
        <w:t>MYR 1.4B unsold inventory + Bumi-quota conversion overdue at 5 townships + MTN bond redemption test in 18 months — Board in 14 days.</w:t>
      </w:r>
    </w:p>
    <w:p>
      <w:r>
        <w:t>This bumi quota conversion brief is grounded on the FY2025 working dataset for Property Development and informs the Board, the regulator, and the operating committee of the corrective actions agreed under the recovery plan.</w:t>
      </w:r>
    </w:p>
    <w:p>
      <w:pPr>
        <w:pStyle w:val="Heading1"/>
      </w:pPr>
      <w:r>
        <w:t>2. Scenario &amp; Background</w:t>
      </w:r>
    </w:p>
    <w:p>
      <w:r>
        <w:t>Zava Property is an ASEAN-listed property developer with residential, integrated-township and industrial-park operations across Malaysia (Klang Valley, Iskandar Johor, Penang) and Indonesia (Greater Jakarta, Bandung, Surabaya). The group has 18,400 active build-out units across 14 active townships and 4 industrial parks. Three pressures converge: (1) MYR 1.4B of unsold completed inventory has accumulated over 24 months, generating MYR 280M of annual holding cost (interest + assessment + utilities + property tax); (2) the Bumi-quota conversion programme (Bumiputera reserved units that have not been taken up) is overdue at 5 townships — the State Authority approval window for conversion under KPKT guidelines closes in 90 days for 3 of those townships; (3) the MYR 1.8B MTN bond redemption test falls in 18 months and credit-watch agencies have downgraded the outlook on the back of the inventory drag and a slowing primary launch take-up rate. The Group MD needs a Board pack in 14 days covering the unsold inventory tracker, township P&amp;L model, Bumi-quota conversion brief, bond redemption stress test, and the FY2026 launch cadence playbook. Real customer reference frame: this group operates similarly to **Sime Darby Property**, **Mah Sing Group**, **Eco World Development**, **IOI Properties**, **Sunway Property**, **S P Setia**, **Sinar Mas Land**, **Lippo Karawaci**, **Ciputra Development**, **Pakuwon Jati**, **Summarecon Agung**, and **Agung Podomoro Land** — with regulators including **REHDA**, **KPKT** (Kementerian Perumahan &amp; Kerajaan Tempatan), **BPN** (Indonesia Land Office), **Kementerian PUPR**, and **OJK** active concurrently.</w:t>
      </w:r>
    </w:p>
    <w:p>
      <w:r>
        <w:t>The team has triangulated Property Development's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Property Development as it stands on the working dataset for this bumi quota conversion brief. Reference figures and supporting tabs are stored alongside this document in the Group repository under the PROPERTY-DEVELOPMENT folder.</w:t>
      </w:r>
    </w:p>
    <w:p>
      <w:pPr>
        <w:pStyle w:val="Heading2"/>
      </w:pPr>
      <w:r>
        <w:t>3.2 Key drivers</w:t>
      </w:r>
    </w:p>
    <w:p>
      <w:r>
        <w:t>Key drivers for Property Development as it stands on the working dataset for this bumi quota conversion brief. Reference figures and supporting tabs are stored alongside this document in the Group repository under the PROPERTY-DEVELOPMENT folder.</w:t>
      </w:r>
    </w:p>
    <w:p>
      <w:pPr>
        <w:pStyle w:val="Heading2"/>
      </w:pPr>
      <w:r>
        <w:t>3.3 Sensitivities and assumptions</w:t>
      </w:r>
    </w:p>
    <w:p>
      <w:r>
        <w:t>Sensitivities and assumptions for Property Development as it stands on the working dataset for this bumi quota conversion brief. Reference figures and supporting tabs are stored alongside this document in the Group repository under the PROPERTY-DEVELOPMENT folder.</w:t>
      </w:r>
    </w:p>
    <w:p>
      <w:pPr>
        <w:pStyle w:val="Heading2"/>
      </w:pPr>
      <w:r>
        <w:t>3.4 Open issues and unknowns</w:t>
      </w:r>
    </w:p>
    <w:p>
      <w:r>
        <w:t>Open issues and unknowns for Property Development as it stands on the working dataset for this bumi quota conversion brief. Reference figures and supporting tabs are stored alongside this document in the Group repository under the PROPERTY-DEVELOPMENT folder.</w:t>
      </w:r>
    </w:p>
    <w:p>
      <w:pPr>
        <w:pStyle w:val="Heading1"/>
      </w:pPr>
      <w:r>
        <w:t>4. Recommended Actions</w:t>
      </w:r>
    </w:p>
    <w:p>
      <w:pPr>
        <w:pStyle w:val="ListBullet"/>
      </w:pPr>
      <w:r>
        <w:t>Confirm the bumi quota conversion brief narrative with the Property Development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PROP_01_Unsold_Inventory_Tracker.xlsx</w:t>
      </w:r>
    </w:p>
    <w:p>
      <w:pPr>
        <w:pStyle w:val="ListBullet"/>
      </w:pPr>
      <w:r>
        <w:t>PROP_02_Township_PnL_Model.xlsx</w:t>
      </w:r>
    </w:p>
    <w:p>
      <w:pPr>
        <w:pStyle w:val="ListBullet"/>
      </w:pPr>
      <w:r>
        <w:t>PROP_03_Bumi_Quota_Conversion_Brief.docx</w:t>
      </w:r>
    </w:p>
    <w:p>
      <w:pPr>
        <w:pStyle w:val="ListBullet"/>
      </w:pPr>
      <w:r>
        <w:t>PROP_04_Bond_Redemption_Stress_Test.xlsx</w:t>
      </w:r>
    </w:p>
    <w:p>
      <w:pPr>
        <w:pStyle w:val="ListBullet"/>
      </w:pPr>
      <w:r>
        <w:t>PROP_05_Launch_Cadence_FY2026_Playbook.docx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