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Property &amp; REIT — Bursa Disclosure Pack</w:t>
      </w:r>
    </w:p>
    <w:p>
      <w:r>
        <w:rPr>
          <w:i/>
        </w:rPr>
        <w:t>Document owner: Property &amp; REIT Group Office</w:t>
      </w:r>
      <w:r>
        <w:rPr>
          <w:i/>
        </w:rPr>
        <w:t xml:space="preserve"> · Version: FY2025-A</w:t>
      </w:r>
    </w:p>
    <w:p>
      <w:pPr>
        <w:pStyle w:val="Heading1"/>
      </w:pPr>
      <w:r>
        <w:t>1. Executive Summary</w:t>
      </w:r>
    </w:p>
    <w:p>
      <w:r>
        <w:t>Three flagship developments slip, REIT NAV gap widens, and Bursa needs a clarification by Friday.</w:t>
      </w:r>
    </w:p>
    <w:p>
      <w:r>
        <w:t>This bursa disclosure pack is grounded on the FY2025 working dataset for Property &amp; REIT and informs the Board, the regulator, and the operating committee of the corrective actions agreed under the recovery plan.</w:t>
      </w:r>
    </w:p>
    <w:p>
      <w:pPr>
        <w:pStyle w:val="Heading1"/>
      </w:pPr>
      <w:r>
        <w:t>2. Scenario &amp; Background</w:t>
      </w:r>
    </w:p>
    <w:p>
      <w:r>
        <w:t>Zava REIT Malaysia is a Malaysian property and REIT group listed on Bursa Malaysia (operating similarly to **SP Setia**, **MRCB**, IOI Properties, Sunway Property, and IGB REIT), with five flagship developments in Klang Valley and Penang, three retail malls under management, and a sponsored REIT (Aman Jaya REIT) holding RM4.8 billion of office and retail assets. FY2025 unbilled sales fell 22% against budget, three flagship projects are now slipping past their handover dates, occupancy at two malls dropped below 82%, and the REIT NAV gap to peers widened by 14% over the last two quarters. Bursa Malaysia has requested a clarification on revenue recognition timing, lenders have flagged covenant headroom, and unit-holders of Aman Jaya REIT are pressing for a clearer distribution outlook. The Group MD walks into a Board strategy review in 72 hours and needs a defensible briefing pack, project-by-project variance analysis, lender and regulator holding lines, mall occupancy recovery options, and a 60-day corrective programme for both the developer and the REIT.</w:t>
      </w:r>
    </w:p>
    <w:p>
      <w:r>
        <w:t>The team has triangulated Property &amp; REIT's most recent reported performance against three peer benchmarks and against the regulator's published thresholds for the sector. Findings carried over from the prior cycle have been re-examined to test whether the original assumptions still hold.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Position at end of period for Property &amp; REIT as it stands on the working dataset for this bursa disclosure pack. Reference figures and supporting tabs are stored alongside this document in the Group repository under the PROPERTY-REIT folder.</w:t>
      </w:r>
    </w:p>
    <w:p>
      <w:pPr>
        <w:pStyle w:val="Heading2"/>
      </w:pPr>
      <w:r>
        <w:t>3.2 Key drivers</w:t>
      </w:r>
    </w:p>
    <w:p>
      <w:r>
        <w:t>Key drivers for Property &amp; REIT as it stands on the working dataset for this bursa disclosure pack. Reference figures and supporting tabs are stored alongside this document in the Group repository under the PROPERTY-REIT folder.</w:t>
      </w:r>
    </w:p>
    <w:p>
      <w:pPr>
        <w:pStyle w:val="Heading2"/>
      </w:pPr>
      <w:r>
        <w:t>3.3 Sensitivities and assumptions</w:t>
      </w:r>
    </w:p>
    <w:p>
      <w:r>
        <w:t>Sensitivities and assumptions for Property &amp; REIT as it stands on the working dataset for this bursa disclosure pack. Reference figures and supporting tabs are stored alongside this document in the Group repository under the PROPERTY-REIT folder.</w:t>
      </w:r>
    </w:p>
    <w:p>
      <w:pPr>
        <w:pStyle w:val="Heading2"/>
      </w:pPr>
      <w:r>
        <w:t>3.4 Open issues and unknowns</w:t>
      </w:r>
    </w:p>
    <w:p>
      <w:r>
        <w:t>Open issues and unknowns for Property &amp; REIT as it stands on the working dataset for this bursa disclosure pack. Reference figures and supporting tabs are stored alongside this document in the Group repository under the PROPERTY-REIT folder.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bursa disclosure pack narrative with the Property &amp; REIT CFO before Board cut-off.</w:t>
      </w:r>
    </w:p>
    <w:p>
      <w:pPr>
        <w:pStyle w:val="ListBullet"/>
      </w:pPr>
      <w:r>
        <w:t>Lock the assumption set for the recovery plan and circulate to division MDs.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and IR.</w:t>
      </w:r>
    </w:p>
    <w:p>
      <w:pPr>
        <w:pStyle w:val="ListBullet"/>
      </w:pPr>
      <w:r>
        <w:t>Capture decisions in the Group decision log with named owners and due dates.</w:t>
      </w:r>
    </w:p>
    <w:p>
      <w:pPr>
        <w:pStyle w:val="Heading1"/>
      </w:pPr>
      <w:r>
        <w:t>5. Appendix — Source files</w:t>
      </w:r>
    </w:p>
    <w:p>
      <w:pPr>
        <w:pStyle w:val="ListBullet"/>
      </w:pPr>
      <w:r>
        <w:t>PROP_01_Project_Performance.xlsx</w:t>
      </w:r>
    </w:p>
    <w:p>
      <w:pPr>
        <w:pStyle w:val="ListBullet"/>
      </w:pPr>
      <w:r>
        <w:t>PROP_02_REIT_Distribution_Policy.docx</w:t>
      </w:r>
    </w:p>
    <w:p>
      <w:pPr>
        <w:pStyle w:val="ListBullet"/>
      </w:pPr>
      <w:r>
        <w:t>PROP_03_Land_Bank_Strategy.docx</w:t>
      </w:r>
    </w:p>
    <w:p>
      <w:pPr>
        <w:pStyle w:val="ListBullet"/>
      </w:pPr>
      <w:r>
        <w:t>PROP_04_Mall_Tenancy_Tracker.xlsx</w:t>
      </w:r>
    </w:p>
    <w:p>
      <w:pPr>
        <w:pStyle w:val="ListBullet"/>
      </w:pPr>
      <w:r>
        <w:t>PROP_05_Bursa_Disclosure_Pack.docx</w:t>
      </w:r>
    </w:p>
    <w:p>
      <w:pPr>
        <w:pStyle w:val="ListBullet"/>
      </w:pPr>
      <w:r>
        <w:t>PROP_06_Lender_Covenant_Schedule.xlsx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