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Financial Regulator — Supervisory Framework</w:t>
      </w:r>
    </w:p>
    <w:p>
      <w:r>
        <w:rPr>
          <w:i/>
        </w:rPr>
        <w:t>Document owner: Financial Regulator Group Office</w:t>
      </w:r>
      <w:r>
        <w:rPr>
          <w:i/>
        </w:rPr>
        <w:t xml:space="preserve"> · Version: FY2025-A</w:t>
      </w:r>
    </w:p>
    <w:p>
      <w:pPr>
        <w:pStyle w:val="Heading1"/>
      </w:pPr>
      <w:r>
        <w:t>1. Executive Summary</w:t>
      </w:r>
    </w:p>
    <w:p>
      <w:r>
        <w:t>Tier-2 broker-dealer breach exposed — supervisory enforcement decision in 5 days.</w:t>
      </w:r>
    </w:p>
    <w:p>
      <w:r>
        <w:t>This supervisory framework is grounded on the FY2025 working dataset for Financial Regulator and informs the Board, the regulator, and the operating committee of the corrective actions agreed under the recovery plan.</w:t>
      </w:r>
    </w:p>
    <w:p>
      <w:pPr>
        <w:pStyle w:val="Heading1"/>
      </w:pPr>
      <w:r>
        <w:t>2. Scenario &amp; Background</w:t>
      </w:r>
    </w:p>
    <w:p>
      <w:r>
        <w:t>Zava Financial Regulator Malaysia (SKM) is the statutory authority overseeing 142 capital-market intermediaries: 38 broker-dealers, 27 fund managers, 41 custodians, 36 advisers — combined client assets MYR 412B. SKM operates a 4-pillar supervisory framework: prudential thresholds (capital adequacy, liquidity, leverage), market-conduct rules, ESG and governance expectations, and resolution planning. Titan Capital Sdn Bhd is a Tier-2 broker-dealer holding MYR 21B in client assets. In the past 30 days Titan has breached 3 prudential thresholds (Capital Adequacy Ratio fell to 7.8 percent vs 12 percent floor, Liquidity Coverage Ratio fell to 91 percent vs 110 percent floor, Aggregate Indebtedness rose to 14.2x vs 10x ceiling), sold leveraged structured products to retail clients in apparent breach of suitability rules, and disclosed late a cyber-incident affecting 11,200 client accounts — disclosed 19 days after detection vs the 72-hour rule. The SKM Commission must decide within 5 days whether to revoke the licence, suspend trading, issue a remedial direction, or escalate to criminal investigation. Two peer regulators (MAS and OJK) have privately asked for read-across given Titan operates a Singapore booking entity. Public Accounts Committee scrutiny and Auditor General attention are expected.</w:t>
      </w:r>
    </w:p>
    <w:p>
      <w:r>
        <w:t>The team has triangulated Financial Regulator's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Financial Regulator as it stands on the working dataset for this supervisory framework. Reference figures and supporting tabs are stored alongside this document in the Group repository under the FINANCIAL-REGULATOR folder.</w:t>
      </w:r>
    </w:p>
    <w:p>
      <w:pPr>
        <w:pStyle w:val="Heading2"/>
      </w:pPr>
      <w:r>
        <w:t>3.2 Key drivers</w:t>
      </w:r>
    </w:p>
    <w:p>
      <w:r>
        <w:t>Key drivers for Financial Regulator as it stands on the working dataset for this supervisory framework. Reference figures and supporting tabs are stored alongside this document in the Group repository under the FINANCIAL-REGULATOR folder.</w:t>
      </w:r>
    </w:p>
    <w:p>
      <w:pPr>
        <w:pStyle w:val="Heading2"/>
      </w:pPr>
      <w:r>
        <w:t>3.3 Sensitivities and assumptions</w:t>
      </w:r>
    </w:p>
    <w:p>
      <w:r>
        <w:t>Sensitivities and assumptions for Financial Regulator as it stands on the working dataset for this supervisory framework. Reference figures and supporting tabs are stored alongside this document in the Group repository under the FINANCIAL-REGULATOR folder.</w:t>
      </w:r>
    </w:p>
    <w:p>
      <w:pPr>
        <w:pStyle w:val="Heading2"/>
      </w:pPr>
      <w:r>
        <w:t>3.4 Open issues and unknowns</w:t>
      </w:r>
    </w:p>
    <w:p>
      <w:r>
        <w:t>Open issues and unknowns for Financial Regulator as it stands on the working dataset for this supervisory framework. Reference figures and supporting tabs are stored alongside this document in the Group repository under the FINANCIAL-REGULATOR folder.</w:t>
      </w:r>
    </w:p>
    <w:p>
      <w:pPr>
        <w:pStyle w:val="Heading1"/>
      </w:pPr>
      <w:r>
        <w:t>4. Recommended Actions</w:t>
      </w:r>
    </w:p>
    <w:p>
      <w:pPr>
        <w:pStyle w:val="ListBullet"/>
      </w:pPr>
      <w:r>
        <w:t>Confirm the supervisory framework narrative with the Financial Regulator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REG_01_Supervisory_Dashboard.xlsx</w:t>
      </w:r>
    </w:p>
    <w:p>
      <w:pPr>
        <w:pStyle w:val="ListBullet"/>
      </w:pPr>
      <w:r>
        <w:t>REG_02_Supervisory_Framework.docx</w:t>
      </w:r>
    </w:p>
    <w:p>
      <w:pPr>
        <w:pStyle w:val="ListBullet"/>
      </w:pPr>
      <w:r>
        <w:t>REG_03_Regulatory_Policy_Manual.docx</w:t>
      </w:r>
    </w:p>
    <w:p>
      <w:pPr>
        <w:pStyle w:val="ListBullet"/>
      </w:pPr>
      <w:r>
        <w:t>REG_04_Licensee_File_TitanCapital.docx</w:t>
      </w:r>
    </w:p>
    <w:p>
      <w:pPr>
        <w:pStyle w:val="ListBullet"/>
      </w:pPr>
      <w:r>
        <w:t>REG_05_Market_Conduct_Review_Q4.docx</w:t>
      </w:r>
    </w:p>
    <w:p>
      <w:pPr>
        <w:pStyle w:val="ListBullet"/>
      </w:pPr>
      <w:r>
        <w:t>REG_06_Peer_Benchmark_MAS_BSP_OJK.xlsx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