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Cross-Border Remittance — AML KYC Policy</w:t>
      </w:r>
    </w:p>
    <w:p>
      <w:r>
        <w:rPr>
          <w:i/>
        </w:rPr>
        <w:t>Document owner: Cross-Border Remittance Group Office</w:t>
      </w:r>
      <w:r>
        <w:rPr>
          <w:i/>
        </w:rPr>
        <w:t xml:space="preserve"> · Version: FY2025-A</w:t>
      </w:r>
    </w:p>
    <w:p>
      <w:pPr>
        <w:pStyle w:val="Heading1"/>
      </w:pPr>
      <w:r>
        <w:t>1. Executive Summary</w:t>
      </w:r>
    </w:p>
    <w:p>
      <w:r>
        <w:t>BNM PSA suspicious-transaction inquiry on the MY↔ID corridor — response in 5 days.</w:t>
      </w:r>
    </w:p>
    <w:p>
      <w:r>
        <w:t>This aml kyc policy is grounded on the FY2025 working dataset for Cross-Border Remittance and informs the Board, the regulator, and the operating committee of the corrective actions agreed under the recovery plan.</w:t>
      </w:r>
    </w:p>
    <w:p>
      <w:pPr>
        <w:pStyle w:val="Heading1"/>
      </w:pPr>
      <w:r>
        <w:t>2. Scenario &amp; Background</w:t>
      </w:r>
    </w:p>
    <w:p>
      <w:r>
        <w:t>Zava Remit Asia is a Bank Negara Malaysia-licensed e-money issuer and remittance operator running the MY↔ID, MY↔PH, MY↔BD, MY↔IN, and MY↔NP corridors with 1.4 million active migrant-worker users moving MYR 8.6B annually. BNM Payment Systems Act inquiry has flagged a 22% week-on-week spike in suspicious-transaction reports on the MY↔ID corridor and demanded explanation within 5 days. AUSTRAC, BSP and OJK are watching. Real customer reference frame: this group operates similarly to Merchantrade Asia, Tranglo, MoneyMatch, and Wise Malaysia.</w:t>
      </w:r>
    </w:p>
    <w:p>
      <w:r>
        <w:t>The team has triangulated Cross-Border Remittance's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Cross-Border Remittance as it stands on the working dataset for this aml kyc policy. Reference figures and supporting tabs are stored alongside this document in the Group repository under the CROSS-BORDER-REMITTANCE folder.</w:t>
      </w:r>
    </w:p>
    <w:p>
      <w:pPr>
        <w:pStyle w:val="Heading2"/>
      </w:pPr>
      <w:r>
        <w:t>3.2 Key drivers</w:t>
      </w:r>
    </w:p>
    <w:p>
      <w:r>
        <w:t>Key drivers for Cross-Border Remittance as it stands on the working dataset for this aml kyc policy. Reference figures and supporting tabs are stored alongside this document in the Group repository under the CROSS-BORDER-REMITTANCE folder.</w:t>
      </w:r>
    </w:p>
    <w:p>
      <w:pPr>
        <w:pStyle w:val="Heading2"/>
      </w:pPr>
      <w:r>
        <w:t>3.3 Sensitivities and assumptions</w:t>
      </w:r>
    </w:p>
    <w:p>
      <w:r>
        <w:t>Sensitivities and assumptions for Cross-Border Remittance as it stands on the working dataset for this aml kyc policy. Reference figures and supporting tabs are stored alongside this document in the Group repository under the CROSS-BORDER-REMITTANCE folder.</w:t>
      </w:r>
    </w:p>
    <w:p>
      <w:pPr>
        <w:pStyle w:val="Heading2"/>
      </w:pPr>
      <w:r>
        <w:t>3.4 Open issues and unknowns</w:t>
      </w:r>
    </w:p>
    <w:p>
      <w:r>
        <w:t>Open issues and unknowns for Cross-Border Remittance as it stands on the working dataset for this aml kyc policy. Reference figures and supporting tabs are stored alongside this document in the Group repository under the CROSS-BORDER-REMITTANCE folder.</w:t>
      </w:r>
    </w:p>
    <w:p>
      <w:pPr>
        <w:pStyle w:val="Heading1"/>
      </w:pPr>
      <w:r>
        <w:t>4. Recommended Actions</w:t>
      </w:r>
    </w:p>
    <w:p>
      <w:pPr>
        <w:pStyle w:val="ListBullet"/>
      </w:pPr>
      <w:r>
        <w:t>Confirm the aml kyc policy narrative with the Cross-Border Remittance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REMIT_01_STR_Filing_Tracker.xlsx</w:t>
      </w:r>
    </w:p>
    <w:p>
      <w:pPr>
        <w:pStyle w:val="ListBullet"/>
      </w:pPr>
      <w:r>
        <w:t>REMIT_02_Corridor_Volume_Heatmap.xlsx</w:t>
      </w:r>
    </w:p>
    <w:p>
      <w:pPr>
        <w:pStyle w:val="ListBullet"/>
      </w:pPr>
      <w:r>
        <w:t>REMIT_03_BNM_PSA_Response_Pack.docx</w:t>
      </w:r>
    </w:p>
    <w:p>
      <w:pPr>
        <w:pStyle w:val="ListBullet"/>
      </w:pPr>
      <w:r>
        <w:t>REMIT_04_AML_KYC_Policy.docx</w:t>
      </w:r>
    </w:p>
    <w:p>
      <w:pPr>
        <w:pStyle w:val="ListBullet"/>
      </w:pPr>
      <w:r>
        <w:t>REMIT_05_Regulator_QA_Pack.docx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