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Rare-Earth &amp; Metals — Civil Society Engagement</w:t>
      </w:r>
    </w:p>
    <w:p>
      <w:r>
        <w:rPr>
          <w:i/>
        </w:rPr>
        <w:t>Document owner: Rare-Earth &amp; Metals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JAEC environmental approval renewal + China REE export curb — Bursa update in 14 days.</w:t>
      </w:r>
    </w:p>
    <w:p>
      <w:r>
        <w:t>This civil society engagement is grounded on the FY2025 working dataset for Rare-Earth &amp; Metals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Rare Earth operates an integrated heavy rare-earth concentrate plant in Pahang and a downstream separation facility in Gebeng producing neodymium, dysprosium, and terbium oxides for global EV magnet and wind-turbine customers. The Atomic Energy Licensing Board (AELB) environmental-approval renewal is due in 90 days; civil-society stakeholders have raised TENORM-residue concerns. China's MOFCOM has tightened REE export licensing in parallel, lifting global pricing 28% in 4 weeks. Bursa Malaysia expects an operational update in 14 days. The Group CFO needs the JAEC/AELB technical narrative, civil-society engagement plan, customer pricing pass-through analysis, and Bursa disclosure all coordinated. Real customer reference frame: this group operates similarly to Lynas Malaysia and MMC Corp Mining.</w:t>
      </w:r>
    </w:p>
    <w:p>
      <w:r>
        <w:t>The team has triangulated Rare-Earth &amp; Metals's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Rare-Earth &amp; Metals as it stands on the working dataset for this civil society engagement. Reference figures and supporting tabs are stored alongside this document in the Group repository under the RARE-EARTH folder.</w:t>
      </w:r>
    </w:p>
    <w:p>
      <w:pPr>
        <w:pStyle w:val="Heading2"/>
      </w:pPr>
      <w:r>
        <w:t>3.2 Key drivers</w:t>
      </w:r>
    </w:p>
    <w:p>
      <w:r>
        <w:t>Key drivers for Rare-Earth &amp; Metals as it stands on the working dataset for this civil society engagement. Reference figures and supporting tabs are stored alongside this document in the Group repository under the RARE-EARTH folder.</w:t>
      </w:r>
    </w:p>
    <w:p>
      <w:pPr>
        <w:pStyle w:val="Heading2"/>
      </w:pPr>
      <w:r>
        <w:t>3.3 Sensitivities and assumptions</w:t>
      </w:r>
    </w:p>
    <w:p>
      <w:r>
        <w:t>Sensitivities and assumptions for Rare-Earth &amp; Metals as it stands on the working dataset for this civil society engagement. Reference figures and supporting tabs are stored alongside this document in the Group repository under the RARE-EARTH folder.</w:t>
      </w:r>
    </w:p>
    <w:p>
      <w:pPr>
        <w:pStyle w:val="Heading2"/>
      </w:pPr>
      <w:r>
        <w:t>3.4 Open issues and unknowns</w:t>
      </w:r>
    </w:p>
    <w:p>
      <w:r>
        <w:t>Open issues and unknowns for Rare-Earth &amp; Metals as it stands on the working dataset for this civil society engagement. Reference figures and supporting tabs are stored alongside this document in the Group repository under the RARE-EARTH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civil society engagement narrative with the Rare-Earth &amp; Metals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RE_01_AELB_Compliance_Tracker.xlsx</w:t>
      </w:r>
    </w:p>
    <w:p>
      <w:pPr>
        <w:pStyle w:val="ListBullet"/>
      </w:pPr>
      <w:r>
        <w:t>RE_02_TENORM_Residue_Inventory.xlsx</w:t>
      </w:r>
    </w:p>
    <w:p>
      <w:pPr>
        <w:pStyle w:val="ListBullet"/>
      </w:pPr>
      <w:r>
        <w:t>RE_03_Civil_Society_Engagement.docx</w:t>
      </w:r>
    </w:p>
    <w:p>
      <w:pPr>
        <w:pStyle w:val="ListBullet"/>
      </w:pPr>
      <w:r>
        <w:t>RE_04_Customer_Pricing_Model.xlsx</w:t>
      </w:r>
    </w:p>
    <w:p>
      <w:pPr>
        <w:pStyle w:val="ListBullet"/>
      </w:pPr>
      <w:r>
        <w:t>RE_05_Bursa_Operational_Update.docx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