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8"/>
        </w:rPr>
        <w:t>Rare-Earth &amp; Metals — Bursa Operational Update</w:t>
      </w:r>
    </w:p>
    <w:p>
      <w:r>
        <w:rPr>
          <w:i/>
        </w:rPr>
        <w:t>Document owner: Rare-Earth &amp; Metals Group Office</w:t>
      </w:r>
      <w:r>
        <w:rPr>
          <w:i/>
        </w:rPr>
        <w:t xml:space="preserve"> · Version: FY2025-A</w:t>
      </w:r>
    </w:p>
    <w:p>
      <w:pPr>
        <w:pStyle w:val="Heading1"/>
      </w:pPr>
      <w:r>
        <w:t>1. Executive Summary</w:t>
      </w:r>
    </w:p>
    <w:p>
      <w:r>
        <w:t>JAEC environmental approval renewal + China REE export curb — Bursa update in 14 days.</w:t>
      </w:r>
    </w:p>
    <w:p>
      <w:r>
        <w:t>This bursa operational update is grounded on the FY2025 working dataset for Rare-Earth &amp; Metals and informs the Board, the regulator, and the operating committee of the corrective actions agreed under the recovery plan.</w:t>
      </w:r>
    </w:p>
    <w:p>
      <w:pPr>
        <w:pStyle w:val="Heading1"/>
      </w:pPr>
      <w:r>
        <w:t>2. Scenario &amp; Background</w:t>
      </w:r>
    </w:p>
    <w:p>
      <w:r>
        <w:t>Zava Rare Earth operates an integrated heavy rare-earth concentrate plant in Pahang and a downstream separation facility in Gebeng producing neodymium, dysprosium, and terbium oxides for global EV magnet and wind-turbine customers. The Atomic Energy Licensing Board (AELB) environmental-approval renewal is due in 90 days; civil-society stakeholders have raised TENORM-residue concerns. China's MOFCOM has tightened REE export licensing in parallel, lifting global pricing 28% in 4 weeks. Bursa Malaysia expects an operational update in 14 days. The Group CFO needs the JAEC/AELB technical narrative, civil-society engagement plan, customer pricing pass-through analysis, and Bursa disclosure all coordinated. Real customer reference frame: this group operates similarly to Lynas Malaysia and MMC Corp Mining.</w:t>
      </w:r>
    </w:p>
    <w:p>
      <w:r>
        <w:t>The team has triangulated Rare-Earth &amp; Metals's most recent reported performance against three peer benchmarks and against the regulator's published thresholds for the sector. Findings carried over from the prior cycle have been re-examined to test whether the original assumptions still hold.</w:t>
      </w:r>
    </w:p>
    <w:p>
      <w:pPr>
        <w:pStyle w:val="Heading1"/>
      </w:pPr>
      <w:r>
        <w:t>3. Detail &amp; Working</w:t>
      </w:r>
    </w:p>
    <w:p>
      <w:pPr>
        <w:pStyle w:val="Heading2"/>
      </w:pPr>
      <w:r>
        <w:t>3.1 Position at end of period</w:t>
      </w:r>
    </w:p>
    <w:p>
      <w:r>
        <w:t>Position at end of period for Rare-Earth &amp; Metals as it stands on the working dataset for this bursa operational update. Reference figures and supporting tabs are stored alongside this document in the Group repository under the RARE-EARTH folder.</w:t>
      </w:r>
    </w:p>
    <w:p>
      <w:pPr>
        <w:pStyle w:val="Heading2"/>
      </w:pPr>
      <w:r>
        <w:t>3.2 Key drivers</w:t>
      </w:r>
    </w:p>
    <w:p>
      <w:r>
        <w:t>Key drivers for Rare-Earth &amp; Metals as it stands on the working dataset for this bursa operational update. Reference figures and supporting tabs are stored alongside this document in the Group repository under the RARE-EARTH folder.</w:t>
      </w:r>
    </w:p>
    <w:p>
      <w:pPr>
        <w:pStyle w:val="Heading2"/>
      </w:pPr>
      <w:r>
        <w:t>3.3 Sensitivities and assumptions</w:t>
      </w:r>
    </w:p>
    <w:p>
      <w:r>
        <w:t>Sensitivities and assumptions for Rare-Earth &amp; Metals as it stands on the working dataset for this bursa operational update. Reference figures and supporting tabs are stored alongside this document in the Group repository under the RARE-EARTH folder.</w:t>
      </w:r>
    </w:p>
    <w:p>
      <w:pPr>
        <w:pStyle w:val="Heading2"/>
      </w:pPr>
      <w:r>
        <w:t>3.4 Open issues and unknowns</w:t>
      </w:r>
    </w:p>
    <w:p>
      <w:r>
        <w:t>Open issues and unknowns for Rare-Earth &amp; Metals as it stands on the working dataset for this bursa operational update. Reference figures and supporting tabs are stored alongside this document in the Group repository under the RARE-EARTH folder.</w:t>
      </w:r>
    </w:p>
    <w:p>
      <w:pPr>
        <w:pStyle w:val="Heading1"/>
      </w:pPr>
      <w:r>
        <w:t>4. Recommended Actions</w:t>
      </w:r>
    </w:p>
    <w:p>
      <w:pPr>
        <w:pStyle w:val="ListBullet"/>
      </w:pPr>
      <w:r>
        <w:t>Confirm the bursa operational update narrative with the Rare-Earth &amp; Metals CFO before Board cut-off.</w:t>
      </w:r>
    </w:p>
    <w:p>
      <w:pPr>
        <w:pStyle w:val="ListBullet"/>
      </w:pPr>
      <w:r>
        <w:t>Lock the assumption set for the recovery plan and circulate to division MDs.</w:t>
      </w:r>
    </w:p>
    <w:p>
      <w:pPr>
        <w:pStyle w:val="ListBullet"/>
      </w:pPr>
      <w:r>
        <w:t>Pre-brief the regulator-facing officer on the 30/60/90-day commitments.</w:t>
      </w:r>
    </w:p>
    <w:p>
      <w:pPr>
        <w:pStyle w:val="ListBullet"/>
      </w:pPr>
      <w:r>
        <w:t>Schedule the cross-functional review with risk, legal, and IR.</w:t>
      </w:r>
    </w:p>
    <w:p>
      <w:pPr>
        <w:pStyle w:val="ListBullet"/>
      </w:pPr>
      <w:r>
        <w:t>Capture decisions in the Group decision log with named owners and due dates.</w:t>
      </w:r>
    </w:p>
    <w:p>
      <w:pPr>
        <w:pStyle w:val="Heading1"/>
      </w:pPr>
      <w:r>
        <w:t>5. Appendix — Source files</w:t>
      </w:r>
    </w:p>
    <w:p>
      <w:pPr>
        <w:pStyle w:val="ListBullet"/>
      </w:pPr>
      <w:r>
        <w:t>RE_01_AELB_Compliance_Tracker.xlsx</w:t>
      </w:r>
    </w:p>
    <w:p>
      <w:pPr>
        <w:pStyle w:val="ListBullet"/>
      </w:pPr>
      <w:r>
        <w:t>RE_02_TENORM_Residue_Inventory.xlsx</w:t>
      </w:r>
    </w:p>
    <w:p>
      <w:pPr>
        <w:pStyle w:val="ListBullet"/>
      </w:pPr>
      <w:r>
        <w:t>RE_03_Civil_Society_Engagement.docx</w:t>
      </w:r>
    </w:p>
    <w:p>
      <w:pPr>
        <w:pStyle w:val="ListBullet"/>
      </w:pPr>
      <w:r>
        <w:t>RE_04_Customer_Pricing_Model.xlsx</w:t>
      </w:r>
    </w:p>
    <w:p>
      <w:pPr>
        <w:pStyle w:val="ListBullet"/>
      </w:pPr>
      <w:r>
        <w:t>RE_05_Bursa_Operational_Update.docx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