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Renewable Energy — PLN Dispatch Compliance</w:t>
      </w:r>
    </w:p>
    <w:p>
      <w:r>
        <w:rPr>
          <w:i/>
        </w:rPr>
        <w:t>Document owner: Renewable Energy Group Office</w:t>
      </w:r>
      <w:r>
        <w:rPr>
          <w:i/>
        </w:rPr>
        <w:t xml:space="preserve"> · Version: FY2025-A</w:t>
      </w:r>
    </w:p>
    <w:p>
      <w:pPr>
        <w:pStyle w:val="Heading1"/>
      </w:pPr>
      <w:r>
        <w:t>1. Executive Summary</w:t>
      </w:r>
    </w:p>
    <w:p>
      <w:r>
        <w:t>Curtailment at 8.6%, O&amp;M cost up 14% and a MYR 1.4B refinancing window — Board pipeline review Thursday.</w:t>
      </w:r>
    </w:p>
    <w:p>
      <w:r>
        <w:t>This pln dispatch compliance is grounded on the FY2025 working dataset for Renewable Energy and informs the Board, the regulator, and the operating committee of the corrective actions agreed under the recovery plan.</w:t>
      </w:r>
    </w:p>
    <w:p>
      <w:pPr>
        <w:pStyle w:val="Heading1"/>
      </w:pPr>
      <w:r>
        <w:t>2. Scenario &amp; Background</w:t>
      </w:r>
    </w:p>
    <w:p>
      <w:r>
        <w:t>Zava Renewables Malaysia is a Malaysian renewable energy IPP listed on Bursa Malaysia with about 1,900 employees and 1.4 GW of operating solar and wind capacity, plus a cross-border project development pipeline of 850 MW with an Indonesian affiliate listed on IDX. Operating data shows utility-scale Solar Generation and Wind Farm Output close to nameplate, but the Grid Curtailment Tracker reveals curtailment has reached 8.6% at two sites because of TNB transmission constraints and PLN dispatch limits in Sumatra. PPA Revenue Tracker shows revenue leakage of about MYR 41 M over the last four quarters, while O&amp;M Cost Summary has risen 14% year on year due to inverter replacements, blade inspections and imported spare parts. The 850 MW Indonesian pipeline depends on PLN PPA renegotiation, Renewable Portfolio Standard alignment and KLHK environmental permits, and a MYR 1.4B refinancing window opens in 14 weeks. Suruhanjaya Tenaga and Kementerian ESDM are both watching dispatch performance, and the Board wants clearer evidence that the asset management plan and the ESG disclosures can withstand lender scrutiny. The Group CEO has called a Board pipeline review on Thursday and needs a defensible recovery plan on curtailment, O&amp;M cost, project finance and regulator engagement — fast.</w:t>
      </w:r>
    </w:p>
    <w:p>
      <w:r>
        <w:t>The team has triangulated Renewable Energy's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Renewable Energy as it stands on the working dataset for this pln dispatch compliance. Reference figures and supporting tabs are stored alongside this document in the Group repository under the RENEWABLE-ENERGY folder.</w:t>
      </w:r>
    </w:p>
    <w:p>
      <w:pPr>
        <w:pStyle w:val="Heading2"/>
      </w:pPr>
      <w:r>
        <w:t>3.2 Key drivers</w:t>
      </w:r>
    </w:p>
    <w:p>
      <w:r>
        <w:t>Key drivers for Renewable Energy as it stands on the working dataset for this pln dispatch compliance. Reference figures and supporting tabs are stored alongside this document in the Group repository under the RENEWABLE-ENERGY folder.</w:t>
      </w:r>
    </w:p>
    <w:p>
      <w:pPr>
        <w:pStyle w:val="Heading2"/>
      </w:pPr>
      <w:r>
        <w:t>3.3 Sensitivities and assumptions</w:t>
      </w:r>
    </w:p>
    <w:p>
      <w:r>
        <w:t>Sensitivities and assumptions for Renewable Energy as it stands on the working dataset for this pln dispatch compliance. Reference figures and supporting tabs are stored alongside this document in the Group repository under the RENEWABLE-ENERGY folder.</w:t>
      </w:r>
    </w:p>
    <w:p>
      <w:pPr>
        <w:pStyle w:val="Heading2"/>
      </w:pPr>
      <w:r>
        <w:t>3.4 Open issues and unknowns</w:t>
      </w:r>
    </w:p>
    <w:p>
      <w:r>
        <w:t>Open issues and unknowns for Renewable Energy as it stands on the working dataset for this pln dispatch compliance. Reference figures and supporting tabs are stored alongside this document in the Group repository under the RENEWABLE-ENERGY folder.</w:t>
      </w:r>
    </w:p>
    <w:p>
      <w:pPr>
        <w:pStyle w:val="Heading1"/>
      </w:pPr>
      <w:r>
        <w:t>4. Recommended Actions</w:t>
      </w:r>
    </w:p>
    <w:p>
      <w:pPr>
        <w:pStyle w:val="ListBullet"/>
      </w:pPr>
      <w:r>
        <w:t>Confirm the pln dispatch compliance narrative with the Renewable Energy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RE_01_Plant_Performance.xlsx</w:t>
      </w:r>
    </w:p>
    <w:p>
      <w:pPr>
        <w:pStyle w:val="ListBullet"/>
      </w:pPr>
      <w:r>
        <w:t>RE_02_ESG_Reporting_Framework.docx</w:t>
      </w:r>
    </w:p>
    <w:p>
      <w:pPr>
        <w:pStyle w:val="ListBullet"/>
      </w:pPr>
      <w:r>
        <w:t>RE_03_Asset_Management_Plan.docx</w:t>
      </w:r>
    </w:p>
    <w:p>
      <w:pPr>
        <w:pStyle w:val="ListBullet"/>
      </w:pPr>
      <w:r>
        <w:t>RE_04_PPA_Contract_Tracker.xlsx</w:t>
      </w:r>
    </w:p>
    <w:p>
      <w:pPr>
        <w:pStyle w:val="ListBullet"/>
      </w:pPr>
      <w:r>
        <w:t>RE_05_Project_Pipeline_Finance.xlsx</w:t>
      </w:r>
    </w:p>
    <w:p>
      <w:pPr>
        <w:pStyle w:val="ListBullet"/>
      </w:pPr>
      <w:r>
        <w:t>RE_06_PLN_Dispatch_Compliance.docx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