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Risk &amp; Internal Audit — Risk Appetite Statement</w:t>
      </w:r>
    </w:p>
    <w:p>
      <w:r>
        <w:rPr>
          <w:i/>
        </w:rPr>
        <w:t>Document owner: 🛡 Risk &amp; Internal Audit Group Office</w:t>
      </w:r>
      <w:r>
        <w:rPr>
          <w:i/>
        </w:rPr>
        <w:t xml:space="preserve"> · Version: FY2025-A</w:t>
      </w:r>
    </w:p>
    <w:p>
      <w:pPr>
        <w:pStyle w:val="Heading1"/>
      </w:pPr>
      <w:r>
        <w:t>1. Executive Summary</w:t>
      </w:r>
    </w:p>
    <w:p>
      <w:r>
        <w:t>47 open audit findings, 12 rated High, 3 Q3 incidents pending Board notification — special Board Risk Committee review in 14 days.</w:t>
      </w:r>
    </w:p>
    <w:p>
      <w:r>
        <w:t>This risk appetite statement is grounded on the FY2025 working dataset for 🛡 Risk &amp; Internal Audit and informs the Board, the regulator, and the operating committee of the corrective actions agreed under the recovery plan.</w:t>
      </w:r>
    </w:p>
    <w:p>
      <w:pPr>
        <w:pStyle w:val="Heading1"/>
      </w:pPr>
      <w:r>
        <w:t>2. Scenario &amp; Background</w:t>
      </w:r>
    </w:p>
    <w:p>
      <w:r>
        <w:t>Group Risk &amp; Internal Audit Office at Zava Group carries 47 open audit findings — 12 rated High — with 3 Q3 incidents still pending Board notification and a special Board Risk Committee session in 14 days. The CRO needs a cleaner RAG narrative on residual exposure, sharper escalation logic across the 11 divisions, and a defensible risk-appetite story that satisfies the committee without over-committing management to targets that cannot be met in the current environment.</w:t>
      </w:r>
    </w:p>
    <w:p>
      <w:r>
        <w:t>The team has triangulated 🛡 Risk &amp; Internal Audit's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Risk &amp; Internal Audit as it stands on the working dataset for this risk appetite statement. Reference figures and supporting tabs are stored alongside this document in the Group repository under the DEPT-RISK folder.</w:t>
      </w:r>
    </w:p>
    <w:p>
      <w:pPr>
        <w:pStyle w:val="Heading2"/>
      </w:pPr>
      <w:r>
        <w:t>3.2 Key drivers</w:t>
      </w:r>
    </w:p>
    <w:p>
      <w:r>
        <w:t>Key drivers for 🛡 Risk &amp; Internal Audit as it stands on the working dataset for this risk appetite statement. Reference figures and supporting tabs are stored alongside this document in the Group repository under the DEPT-RISK folder.</w:t>
      </w:r>
    </w:p>
    <w:p>
      <w:pPr>
        <w:pStyle w:val="Heading2"/>
      </w:pPr>
      <w:r>
        <w:t>3.3 Sensitivities and assumptions</w:t>
      </w:r>
    </w:p>
    <w:p>
      <w:r>
        <w:t>Sensitivities and assumptions for 🛡 Risk &amp; Internal Audit as it stands on the working dataset for this risk appetite statement. Reference figures and supporting tabs are stored alongside this document in the Group repository under the DEPT-RISK folder.</w:t>
      </w:r>
    </w:p>
    <w:p>
      <w:pPr>
        <w:pStyle w:val="Heading2"/>
      </w:pPr>
      <w:r>
        <w:t>3.4 Open issues and unknowns</w:t>
      </w:r>
    </w:p>
    <w:p>
      <w:r>
        <w:t>Open issues and unknowns for 🛡 Risk &amp; Internal Audit as it stands on the working dataset for this risk appetite statement. Reference figures and supporting tabs are stored alongside this document in the Group repository under the DEPT-RISK folder.</w:t>
      </w:r>
    </w:p>
    <w:p>
      <w:pPr>
        <w:pStyle w:val="Heading1"/>
      </w:pPr>
      <w:r>
        <w:t>4. Recommended Actions</w:t>
      </w:r>
    </w:p>
    <w:p>
      <w:pPr>
        <w:pStyle w:val="ListBullet"/>
      </w:pPr>
      <w:r>
        <w:t>Confirm the risk appetite statement narrative with the 🛡 Risk &amp; Internal Audit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RSK_01_Enterprise_Risk_Register.xlsx</w:t>
      </w:r>
    </w:p>
    <w:p>
      <w:pPr>
        <w:pStyle w:val="ListBullet"/>
      </w:pPr>
      <w:r>
        <w:t>RSK_02_ERM_Framework.docx</w:t>
      </w:r>
    </w:p>
    <w:p>
      <w:pPr>
        <w:pStyle w:val="ListBullet"/>
      </w:pPr>
      <w:r>
        <w:t>RSK_03_Internal_Audit_Plan.docx</w:t>
      </w:r>
    </w:p>
    <w:p>
      <w:pPr>
        <w:pStyle w:val="ListBullet"/>
      </w:pPr>
      <w:r>
        <w:t>RSK_04_Audit_Findings_Tracker.xlsx</w:t>
      </w:r>
    </w:p>
    <w:p>
      <w:pPr>
        <w:pStyle w:val="ListBullet"/>
      </w:pPr>
      <w:r>
        <w:t>RSK_05_Incident_Log.xlsx</w:t>
      </w:r>
    </w:p>
    <w:p>
      <w:pPr>
        <w:pStyle w:val="ListBullet"/>
      </w:pPr>
      <w:r>
        <w:t>RSK_06_Risk_Appetite_Statement.docx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