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Retail - Grocery — Halal Compliance Register</w:t>
      </w:r>
    </w:p>
    <w:p>
      <w:r>
        <w:rPr>
          <w:i/>
        </w:rPr>
        <w:t>Document owner: Retail - Grocery Group Office</w:t>
      </w:r>
      <w:r>
        <w:rPr>
          <w:i/>
        </w:rPr>
        <w:t xml:space="preserve"> · Version: FY2025-A</w:t>
      </w:r>
    </w:p>
    <w:p>
      <w:pPr>
        <w:pStyle w:val="Heading1"/>
      </w:pPr>
      <w:r>
        <w:t>1. Executive Summary</w:t>
      </w:r>
    </w:p>
    <w:p>
      <w:r>
        <w:t>SSS missing plan; shrinkage erodes margin; BPOM, Halal MUI and Kemendag scrutiny rising.</w:t>
      </w:r>
    </w:p>
    <w:p>
      <w:r>
        <w:t>This halal compliance register is grounded on the FY2025 working dataset for Retail - Grocery and informs the Board, the regulator, and the operating committee of the corrective actions agreed under the recovery plan.</w:t>
      </w:r>
    </w:p>
    <w:p>
      <w:pPr>
        <w:pStyle w:val="Heading1"/>
      </w:pPr>
      <w:r>
        <w:t>2. Scenario &amp; Background</w:t>
      </w:r>
    </w:p>
    <w:p>
      <w:r>
        <w:t>Zava Retail Malaysia and Zava Retail Indonesia operate as a tier-one grocery retailer across 412 stores in Malaysia and Indonesia with MYR 6.4 billion in annual revenue and roughly 21,400 direct staff. Same-store sales growth is 1.4% against the FY2026 plan of 4.6%, gross margin is 180 basis points below plan because of shrinkage, BPOM and Halal MUI scrutiny on private-label SKUs has intensified, Kementerian Perdagangan has opened a price-display review on 67 stores, the Ramadan promotional programme delivered ROI of 0.71x against the planned 1.4x, and supplier funding has compressed working capital. The Investment Committee meets in 18 days and management must demonstrate that commercial discipline, shrinkage controls, compliance posture, and promotional ROI are aligned before the FY2026 store-investment envelope is approved.</w:t>
      </w:r>
    </w:p>
    <w:p>
      <w:r>
        <w:t>The team has triangulated Retail - Grocery's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Retail - Grocery as it stands on the working dataset for this halal compliance register. Reference figures and supporting tabs are stored alongside this document in the Group repository under the RETAIL-GROCERY folder.</w:t>
      </w:r>
    </w:p>
    <w:p>
      <w:pPr>
        <w:pStyle w:val="Heading2"/>
      </w:pPr>
      <w:r>
        <w:t>3.2 Key drivers</w:t>
      </w:r>
    </w:p>
    <w:p>
      <w:r>
        <w:t>Key drivers for Retail - Grocery as it stands on the working dataset for this halal compliance register. Reference figures and supporting tabs are stored alongside this document in the Group repository under the RETAIL-GROCERY folder.</w:t>
      </w:r>
    </w:p>
    <w:p>
      <w:pPr>
        <w:pStyle w:val="Heading2"/>
      </w:pPr>
      <w:r>
        <w:t>3.3 Sensitivities and assumptions</w:t>
      </w:r>
    </w:p>
    <w:p>
      <w:r>
        <w:t>Sensitivities and assumptions for Retail - Grocery as it stands on the working dataset for this halal compliance register. Reference figures and supporting tabs are stored alongside this document in the Group repository under the RETAIL-GROCERY folder.</w:t>
      </w:r>
    </w:p>
    <w:p>
      <w:pPr>
        <w:pStyle w:val="Heading2"/>
      </w:pPr>
      <w:r>
        <w:t>3.4 Open issues and unknowns</w:t>
      </w:r>
    </w:p>
    <w:p>
      <w:r>
        <w:t>Open issues and unknowns for Retail - Grocery as it stands on the working dataset for this halal compliance register. Reference figures and supporting tabs are stored alongside this document in the Group repository under the RETAIL-GROCERY folder.</w:t>
      </w:r>
    </w:p>
    <w:p>
      <w:pPr>
        <w:pStyle w:val="Heading1"/>
      </w:pPr>
      <w:r>
        <w:t>4. Recommended Actions</w:t>
      </w:r>
    </w:p>
    <w:p>
      <w:pPr>
        <w:pStyle w:val="ListBullet"/>
      </w:pPr>
      <w:r>
        <w:t>Confirm the halal compliance register narrative with the Retail - Grocery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RT_01_Store_Performance.xlsx</w:t>
      </w:r>
    </w:p>
    <w:p>
      <w:pPr>
        <w:pStyle w:val="ListBullet"/>
      </w:pPr>
      <w:r>
        <w:t>RT_02_Store_Operations_Manual.docx</w:t>
      </w:r>
    </w:p>
    <w:p>
      <w:pPr>
        <w:pStyle w:val="ListBullet"/>
      </w:pPr>
      <w:r>
        <w:t>RT_03_Supplier_Management_Policy.docx</w:t>
      </w:r>
    </w:p>
    <w:p>
      <w:pPr>
        <w:pStyle w:val="ListBullet"/>
      </w:pPr>
      <w:r>
        <w:t>RT_04_Promotion_ROI_Model.xlsx</w:t>
      </w:r>
    </w:p>
    <w:p>
      <w:pPr>
        <w:pStyle w:val="ListBullet"/>
      </w:pPr>
      <w:r>
        <w:t>RT_05_Halal_Compliance_Register.docx</w:t>
      </w:r>
    </w:p>
    <w:p>
      <w:pPr>
        <w:pStyle w:val="ListBullet"/>
      </w:pPr>
      <w:r>
        <w:t>RT_06_Shrinkage_Audit.xlsx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