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Semiconductor / E&amp;E — Customer Holding Lines</w:t>
      </w:r>
    </w:p>
    <w:p>
      <w:r>
        <w:rPr>
          <w:i/>
        </w:rPr>
        <w:t>Document owner: Semiconductor / E&amp;E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US BIS export-control update — 14 customer SKUs at risk, MITI brief in 7 days.</w:t>
      </w:r>
    </w:p>
    <w:p>
      <w:r>
        <w:t>This customer holding lines is grounded on the FY2025 working dataset for Semiconductor / E&amp;E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Zava Electronics MY operates 4 semiconductor assembly-and-test plants in Penang, Kulim and Melaka with hard-disk-drive heads, NAND flash packaging, and IC substrates as the core revenue lines (USD 1.9B FY2025 revenue). The US Bureau of Industry and Security has updated export-control rules adding 14 customer SKUs to the Entity-List exposure register. MITI Malaysia has requested a brief in 7 days. The Group CFO needs a quantified at-risk SKU schedule, customer-by-customer holding lines, US export-counsel guidance memo, capex re-prioritisation, and the Audit Committee narrative. Real customer reference frame: this group operates similarly to Western Digital Penang, Micron, Inari Amertron, ESCATEC, and Pentamaster.</w:t>
      </w:r>
    </w:p>
    <w:p>
      <w:r>
        <w:t>The team has triangulated Semiconductor / E&amp;E's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Semiconductor / E&amp;E as it stands on the working dataset for this customer holding lines. Reference figures and supporting tabs are stored alongside this document in the Group repository under the SEMICONDUCTOR folder.</w:t>
      </w:r>
    </w:p>
    <w:p>
      <w:pPr>
        <w:pStyle w:val="Heading2"/>
      </w:pPr>
      <w:r>
        <w:t>3.2 Key drivers</w:t>
      </w:r>
    </w:p>
    <w:p>
      <w:r>
        <w:t>Key drivers for Semiconductor / E&amp;E as it stands on the working dataset for this customer holding lines. Reference figures and supporting tabs are stored alongside this document in the Group repository under the SEMICONDUCTOR folder.</w:t>
      </w:r>
    </w:p>
    <w:p>
      <w:pPr>
        <w:pStyle w:val="Heading2"/>
      </w:pPr>
      <w:r>
        <w:t>3.3 Sensitivities and assumptions</w:t>
      </w:r>
    </w:p>
    <w:p>
      <w:r>
        <w:t>Sensitivities and assumptions for Semiconductor / E&amp;E as it stands on the working dataset for this customer holding lines. Reference figures and supporting tabs are stored alongside this document in the Group repository under the SEMICONDUCTOR folder.</w:t>
      </w:r>
    </w:p>
    <w:p>
      <w:pPr>
        <w:pStyle w:val="Heading2"/>
      </w:pPr>
      <w:r>
        <w:t>3.4 Open issues and unknowns</w:t>
      </w:r>
    </w:p>
    <w:p>
      <w:r>
        <w:t>Open issues and unknowns for Semiconductor / E&amp;E as it stands on the working dataset for this customer holding lines. Reference figures and supporting tabs are stored alongside this document in the Group repository under the SEMICONDUCTOR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customer holding lines narrative with the Semiconductor / E&amp;E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SEMI_01_BIS_SKU_Exposure.xlsx</w:t>
      </w:r>
    </w:p>
    <w:p>
      <w:pPr>
        <w:pStyle w:val="ListBullet"/>
      </w:pPr>
      <w:r>
        <w:t>SEMI_02_Customer_Concentration_Heatmap.xlsx</w:t>
      </w:r>
    </w:p>
    <w:p>
      <w:pPr>
        <w:pStyle w:val="ListBullet"/>
      </w:pPr>
      <w:r>
        <w:t>SEMI_03_MITI_Brief_Pack.docx</w:t>
      </w:r>
    </w:p>
    <w:p>
      <w:pPr>
        <w:pStyle w:val="ListBullet"/>
      </w:pPr>
      <w:r>
        <w:t>SEMI_04_Capex_Reprioritisation.xlsx</w:t>
      </w:r>
    </w:p>
    <w:p>
      <w:pPr>
        <w:pStyle w:val="ListBullet"/>
      </w:pPr>
      <w:r>
        <w:t>SEMI_05_Customer_Holding_Lines.docx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