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🎯 Strategy &amp; Corporate Planning — Portfolio Review</w:t>
      </w:r>
    </w:p>
    <w:p>
      <w:r>
        <w:rPr>
          <w:i/>
        </w:rPr>
        <w:t>Document owner: 🎯 Strategy &amp; Corporate Planning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3 flagship strategic initiatives are 4-7 months behind schedule, capex prioritisation under challenge, and the FY2026 growth thesis must be refreshed in 4 weeks.</w:t>
      </w:r>
    </w:p>
    <w:p>
      <w:r>
        <w:t>This portfolio review is grounded on the FY2025 working dataset for 🎯 Strategy &amp; Corporate Planning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Strategy &amp; Corporate Planning Office at Zava Group has 3 flagship strategic initiatives running 4-7 months behind schedule, capex prioritisation under challenge from divisional CEOs, and a FY2026 growth thesis that the CEO wants refreshed within 4 weeks. The Group Strategy Director needs sharper sequencing, tighter linkage between strategy milestones and value creation, and a clear answer to the question: what moves first if resources stay constrained?</w:t>
      </w:r>
    </w:p>
    <w:p>
      <w:r>
        <w:t>The team has triangulated 🎯 Strategy &amp; Corporate Planning's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🎯 Strategy &amp; Corporate Planning as it stands on the working dataset for this portfolio review. Reference figures and supporting tabs are stored alongside this document in the Group repository under the DEPT-STRATEGY folder.</w:t>
      </w:r>
    </w:p>
    <w:p>
      <w:pPr>
        <w:pStyle w:val="Heading2"/>
      </w:pPr>
      <w:r>
        <w:t>3.2 Key drivers</w:t>
      </w:r>
    </w:p>
    <w:p>
      <w:r>
        <w:t>Key drivers for 🎯 Strategy &amp; Corporate Planning as it stands on the working dataset for this portfolio review. Reference figures and supporting tabs are stored alongside this document in the Group repository under the DEPT-STRATEGY folder.</w:t>
      </w:r>
    </w:p>
    <w:p>
      <w:pPr>
        <w:pStyle w:val="Heading2"/>
      </w:pPr>
      <w:r>
        <w:t>3.3 Sensitivities and assumptions</w:t>
      </w:r>
    </w:p>
    <w:p>
      <w:r>
        <w:t>Sensitivities and assumptions for 🎯 Strategy &amp; Corporate Planning as it stands on the working dataset for this portfolio review. Reference figures and supporting tabs are stored alongside this document in the Group repository under the DEPT-STRATEGY folder.</w:t>
      </w:r>
    </w:p>
    <w:p>
      <w:pPr>
        <w:pStyle w:val="Heading2"/>
      </w:pPr>
      <w:r>
        <w:t>3.4 Open issues and unknowns</w:t>
      </w:r>
    </w:p>
    <w:p>
      <w:r>
        <w:t>Open issues and unknowns for 🎯 Strategy &amp; Corporate Planning as it stands on the working dataset for this portfolio review. Reference figures and supporting tabs are stored alongside this document in the Group repository under the DEPT-STRATEGY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portfolio review narrative with the 🎯 Strategy &amp; Corporate Planning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STR_01_Strategy_Tracker.xlsx</w:t>
      </w:r>
    </w:p>
    <w:p>
      <w:pPr>
        <w:pStyle w:val="ListBullet"/>
      </w:pPr>
      <w:r>
        <w:t>STR_02_Corporate_Plan.docx</w:t>
      </w:r>
    </w:p>
    <w:p>
      <w:pPr>
        <w:pStyle w:val="ListBullet"/>
      </w:pPr>
      <w:r>
        <w:t>STR_03_Portfolio_Review.docx</w:t>
      </w:r>
    </w:p>
    <w:p>
      <w:pPr>
        <w:pStyle w:val="ListBullet"/>
      </w:pPr>
      <w:r>
        <w:t>STR_04_Capex_Allocation_Model.xlsx</w:t>
      </w:r>
    </w:p>
    <w:p>
      <w:pPr>
        <w:pStyle w:val="ListBullet"/>
      </w:pPr>
      <w:r>
        <w:t>STR_05_KPI_Tree.xlsx</w:t>
      </w:r>
    </w:p>
    <w:p>
      <w:pPr>
        <w:pStyle w:val="ListBullet"/>
      </w:pPr>
      <w:r>
        <w:t>STR_06_Investment_Committee_Charter.docx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