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Takaful — Takaful Governance Manual</w:t>
      </w:r>
    </w:p>
    <w:p>
      <w:r>
        <w:rPr>
          <w:i/>
        </w:rPr>
        <w:t>Document owner: Takaful Group Office</w:t>
      </w:r>
      <w:r>
        <w:rPr>
          <w:i/>
        </w:rPr>
        <w:t xml:space="preserve"> · Version: FY2025-A</w:t>
      </w:r>
    </w:p>
    <w:p>
      <w:pPr>
        <w:pStyle w:val="Heading1"/>
      </w:pPr>
      <w:r>
        <w:t>1. Executive Summary</w:t>
      </w:r>
    </w:p>
    <w:p>
      <w:r>
        <w:t>Participant fund surplus tightens as lapse pressure, wakalah fee competition, and Shariah exceptions converge before BNM review.</w:t>
      </w:r>
    </w:p>
    <w:p>
      <w:r>
        <w:t>This takaful governance manual is grounded on the FY2025 working dataset for Takaful and informs the Board, the regulator, and the operating committee of the corrective actions agreed under the recovery plan.</w:t>
      </w:r>
    </w:p>
    <w:p>
      <w:pPr>
        <w:pStyle w:val="Heading1"/>
      </w:pPr>
      <w:r>
        <w:t>2. Scenario &amp; Background</w:t>
      </w:r>
    </w:p>
    <w:p>
      <w:r>
        <w:t>Zava Takaful Malaysia is a Malaysian takaful operator with family and general takaful lines; the immediate pressure sits in the participant fund and the wakalah model's competitiveness. Claims outgo has risen faster than expected in selected family takaful portfolios, lapse behaviour has worsened in the early years, and the current wakalah fee position looks uncomfortably high against newer digital competitors winning price-sensitive customers. A small number of Shariah process exceptions, not yet systemic, could become reputationally damaging if still open when BNM reviews governance, participant disclosure, and surplus treatment. The re-takaful programme is due for renewal as counterparties push for less generous terms, creating further uncertainty over protection and net fund resilience. The Indonesian affiliate Zava Takaful Indonesia faces similar scrutiny as OJK sharpens supervision of syariah fund governance, IDX investors question margin quality, and BI conditions influence participant affordability. Management has six weeks to decide whether to adjust fee strategy, tighten retention, and accelerate Shariah remediation.</w:t>
      </w:r>
    </w:p>
    <w:p>
      <w:r>
        <w:t>The team has triangulated Takaful's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Takaful as it stands on the working dataset for this takaful governance manual. Reference figures and supporting tabs are stored alongside this document in the Group repository under the TAKAFUL folder.</w:t>
      </w:r>
    </w:p>
    <w:p>
      <w:pPr>
        <w:pStyle w:val="Heading2"/>
      </w:pPr>
      <w:r>
        <w:t>3.2 Key drivers</w:t>
      </w:r>
    </w:p>
    <w:p>
      <w:r>
        <w:t>Key drivers for Takaful as it stands on the working dataset for this takaful governance manual. Reference figures and supporting tabs are stored alongside this document in the Group repository under the TAKAFUL folder.</w:t>
      </w:r>
    </w:p>
    <w:p>
      <w:pPr>
        <w:pStyle w:val="Heading2"/>
      </w:pPr>
      <w:r>
        <w:t>3.3 Sensitivities and assumptions</w:t>
      </w:r>
    </w:p>
    <w:p>
      <w:r>
        <w:t>Sensitivities and assumptions for Takaful as it stands on the working dataset for this takaful governance manual. Reference figures and supporting tabs are stored alongside this document in the Group repository under the TAKAFUL folder.</w:t>
      </w:r>
    </w:p>
    <w:p>
      <w:pPr>
        <w:pStyle w:val="Heading2"/>
      </w:pPr>
      <w:r>
        <w:t>3.4 Open issues and unknowns</w:t>
      </w:r>
    </w:p>
    <w:p>
      <w:r>
        <w:t>Open issues and unknowns for Takaful as it stands on the working dataset for this takaful governance manual. Reference figures and supporting tabs are stored alongside this document in the Group repository under the TAKAFUL folder.</w:t>
      </w:r>
    </w:p>
    <w:p>
      <w:pPr>
        <w:pStyle w:val="Heading1"/>
      </w:pPr>
      <w:r>
        <w:t>4. Recommended Actions</w:t>
      </w:r>
    </w:p>
    <w:p>
      <w:pPr>
        <w:pStyle w:val="ListBullet"/>
      </w:pPr>
      <w:r>
        <w:t>Confirm the takaful governance manual narrative with the Takaful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TAK_01_Takaful_Portfolio.xlsx</w:t>
      </w:r>
    </w:p>
    <w:p>
      <w:pPr>
        <w:pStyle w:val="ListBullet"/>
      </w:pPr>
      <w:r>
        <w:t>TAK_02_Takaful_Governance_Manual.docx</w:t>
      </w:r>
    </w:p>
    <w:p>
      <w:pPr>
        <w:pStyle w:val="ListBullet"/>
      </w:pPr>
      <w:r>
        <w:t>TAK_03_Shariah_Compliance_Policy.docx</w:t>
      </w:r>
    </w:p>
    <w:p>
      <w:pPr>
        <w:pStyle w:val="ListBullet"/>
      </w:pPr>
      <w:r>
        <w:t>TAK_04_Wakalah_Fee_Benchmark.xlsx</w:t>
      </w:r>
    </w:p>
    <w:p>
      <w:pPr>
        <w:pStyle w:val="ListBullet"/>
      </w:pPr>
      <w:r>
        <w:t>TAK_05_Re_Takaful_Treaty_Pack.docx</w:t>
      </w:r>
    </w:p>
    <w:p>
      <w:pPr>
        <w:pStyle w:val="ListBullet"/>
      </w:pPr>
      <w:r>
        <w:t>TAK_06_Participant_Fund_Forecast.xlsx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