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Telco — Kominfo BRTI Submissions</w:t>
      </w:r>
    </w:p>
    <w:p>
      <w:r>
        <w:rPr>
          <w:i/>
        </w:rPr>
        <w:t>Document owner: Telco Group Office</w:t>
      </w:r>
      <w:r>
        <w:rPr>
          <w:i/>
        </w:rPr>
        <w:t xml:space="preserve"> · Version: FY2025-A</w:t>
      </w:r>
    </w:p>
    <w:p>
      <w:pPr>
        <w:pStyle w:val="Heading1"/>
      </w:pPr>
      <w:r>
        <w:t>1. Executive Summary</w:t>
      </w:r>
    </w:p>
    <w:p>
      <w:r>
        <w:t>Coverage 14 sites short, churn 2.3%, ARPU -6%, BRTI spectrum review in 10 days.</w:t>
      </w:r>
    </w:p>
    <w:p>
      <w:r>
        <w:t>This kominfo brti submissions is grounded on the FY2025 working dataset for Telco and informs the Board, the regulator, and the operating committee of the corrective actions agreed under the recovery plan.</w:t>
      </w:r>
    </w:p>
    <w:p>
      <w:pPr>
        <w:pStyle w:val="Heading1"/>
      </w:pPr>
      <w:r>
        <w:t>2. Scenario &amp; Background</w:t>
      </w:r>
    </w:p>
    <w:p>
      <w:r>
        <w:t>Zava Telco Indonesia serves 38.4 million subscribers across Sumatra, Java, and Kalimantan with 11,600 employees and 14,200 active sites. Coverage build is running 14 sites short of the Kominfo USO commitment, postpaid churn has climbed to 2.3% monthly in 4 priority clusters, blended ARPU has slipped 6%, and BRTI has scheduled a spectrum-utilisation review in 10 days. OJK has separately asked for the digital-payments licence cohort report. The Board needs a defensible network, commercial, and regulatory recovery story before approving the FY2026 capex envelope.</w:t>
      </w:r>
    </w:p>
    <w:p>
      <w:r>
        <w:t>The team has triangulated Telco's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Telco as it stands on the working dataset for this kominfo brti submissions. Reference figures and supporting tabs are stored alongside this document in the Group repository under the TELCO folder.</w:t>
      </w:r>
    </w:p>
    <w:p>
      <w:pPr>
        <w:pStyle w:val="Heading2"/>
      </w:pPr>
      <w:r>
        <w:t>3.2 Key drivers</w:t>
      </w:r>
    </w:p>
    <w:p>
      <w:r>
        <w:t>Key drivers for Telco as it stands on the working dataset for this kominfo brti submissions. Reference figures and supporting tabs are stored alongside this document in the Group repository under the TELCO folder.</w:t>
      </w:r>
    </w:p>
    <w:p>
      <w:pPr>
        <w:pStyle w:val="Heading2"/>
      </w:pPr>
      <w:r>
        <w:t>3.3 Sensitivities and assumptions</w:t>
      </w:r>
    </w:p>
    <w:p>
      <w:r>
        <w:t>Sensitivities and assumptions for Telco as it stands on the working dataset for this kominfo brti submissions. Reference figures and supporting tabs are stored alongside this document in the Group repository under the TELCO folder.</w:t>
      </w:r>
    </w:p>
    <w:p>
      <w:pPr>
        <w:pStyle w:val="Heading2"/>
      </w:pPr>
      <w:r>
        <w:t>3.4 Open issues and unknowns</w:t>
      </w:r>
    </w:p>
    <w:p>
      <w:r>
        <w:t>Open issues and unknowns for Telco as it stands on the working dataset for this kominfo brti submissions. Reference figures and supporting tabs are stored alongside this document in the Group repository under the TELCO folder.</w:t>
      </w:r>
    </w:p>
    <w:p>
      <w:pPr>
        <w:pStyle w:val="Heading1"/>
      </w:pPr>
      <w:r>
        <w:t>4. Recommended Actions</w:t>
      </w:r>
    </w:p>
    <w:p>
      <w:pPr>
        <w:pStyle w:val="ListBullet"/>
      </w:pPr>
      <w:r>
        <w:t>Confirm the kominfo brti submissions narrative with the Telco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TC_01_Network_Performance.xlsx</w:t>
      </w:r>
    </w:p>
    <w:p>
      <w:pPr>
        <w:pStyle w:val="ListBullet"/>
      </w:pPr>
      <w:r>
        <w:t>TC_02_Spectrum_Compliance_Report.docx</w:t>
      </w:r>
    </w:p>
    <w:p>
      <w:pPr>
        <w:pStyle w:val="ListBullet"/>
      </w:pPr>
      <w:r>
        <w:t>TC_03_Network_Rollout_Strategy.docx</w:t>
      </w:r>
    </w:p>
    <w:p>
      <w:pPr>
        <w:pStyle w:val="ListBullet"/>
      </w:pPr>
      <w:r>
        <w:t>TC_04_Subscriber_ARPU_Bridge.xlsx</w:t>
      </w:r>
    </w:p>
    <w:p>
      <w:pPr>
        <w:pStyle w:val="ListBullet"/>
      </w:pPr>
      <w:r>
        <w:t>TC_05_Kominfo_BRTI_Submissions.docx</w:t>
      </w:r>
    </w:p>
    <w:p>
      <w:pPr>
        <w:pStyle w:val="ListBullet"/>
      </w:pPr>
      <w:r>
        <w:t>TC_06_Capex_Approvals_Tracker.xlsx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