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Aruna Client Coverage Strategy</w:t>
      </w:r>
    </w:p>
    <w:p>
      <w:r>
        <w:rPr>
          <w:i/>
          <w:color w:val="707070"/>
          <w:sz w:val="20"/>
        </w:rPr>
        <w:t>Filename: Aruna_Client_Coverage_Strategy.docx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