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Kebijakan Syariah</w:t>
      </w:r>
    </w:p>
    <w:p>
      <w:r>
        <w:rPr>
          <w:i/>
          <w:color w:val="707070"/>
          <w:sz w:val="20"/>
        </w:rPr>
        <w:t>Filename: Briefing_Reset_Kebijakan_Syariah.docx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