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Polisi Kredit</w:t>
      </w:r>
    </w:p>
    <w:p>
      <w:r>
        <w:rPr>
          <w:i/>
          <w:color w:val="707070"/>
          <w:sz w:val="20"/>
        </w:rPr>
        <w:t>Filename: Briefing_Reset_Polisi_Kredit.docx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