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Reset Polisi Syariah</w:t>
      </w:r>
    </w:p>
    <w:p>
      <w:r>
        <w:rPr>
          <w:i/>
          <w:color w:val="707070"/>
          <w:sz w:val="20"/>
        </w:rPr>
        <w:t>Filename: Briefing_Reset_Polisi_Syariah.docx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