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Reset Q4</w:t>
      </w:r>
    </w:p>
    <w:p>
      <w:r>
        <w:rPr>
          <w:i/>
          <w:color w:val="707070"/>
          <w:sz w:val="20"/>
        </w:rPr>
        <w:t>Filename: Briefing_Reset_Q4.docx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