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Reset Strategis</w:t>
      </w:r>
    </w:p>
    <w:p>
      <w:r>
        <w:rPr>
          <w:i/>
          <w:color w:val="707070"/>
          <w:sz w:val="20"/>
        </w:rPr>
        <w:t>Filename: Briefing_Reset_Strategis.docx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