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Tinjauan Komunikasi Eksekutif FY2026</w:t>
      </w:r>
    </w:p>
    <w:p>
      <w:r>
        <w:rPr>
          <w:i/>
          <w:color w:val="707070"/>
          <w:sz w:val="20"/>
        </w:rPr>
        <w:t>Filename: Briefing_Tinjauan_Komunikasi_Eksekutif_FY2026.docx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