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Tinjauan Strategi CEO</w:t>
      </w:r>
    </w:p>
    <w:p>
      <w:r>
        <w:rPr>
          <w:i/>
          <w:color w:val="707070"/>
          <w:sz w:val="20"/>
        </w:rPr>
        <w:t>Filename: Briefing_Tinjauan_Strategi_CEO.docx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