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Channel Reset Brief</w:t>
      </w:r>
    </w:p>
    <w:p>
      <w:r>
        <w:rPr>
          <w:i/>
          <w:color w:val="707070"/>
          <w:sz w:val="20"/>
        </w:rPr>
        <w:t>Filename: Channel_Reset_Brief.docx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