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Compliance Recovery Programme</w:t>
      </w:r>
    </w:p>
    <w:p>
      <w:r>
        <w:rPr>
          <w:i/>
          <w:color w:val="707070"/>
          <w:sz w:val="20"/>
        </w:rPr>
        <w:t>Filename: Compliance_Recovery_Programme.docx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