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Retail Restitution Framework</w:t>
      </w:r>
    </w:p>
    <w:p>
      <w:r>
        <w:rPr>
          <w:i/>
          <w:color w:val="707070"/>
          <w:sz w:val="20"/>
        </w:rPr>
        <w:t>Filename: Retail_Restitution_Framework.docx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