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Shariah Policy Reset Briefing</w:t>
      </w:r>
    </w:p>
    <w:p>
      <w:r>
        <w:rPr>
          <w:i/>
          <w:color w:val="707070"/>
          <w:sz w:val="20"/>
        </w:rPr>
        <w:t>Filename: Shariah_Policy_Reset_Briefing.docx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