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Segoe UI" w:hAnsi="Segoe UI" w:eastAsia="Segoe UI" w:cs="Segoe UI"/>
          <w:i w:val="true"/>
          <w:b w:val="false"/>
          <w:u w:val="none"/>
          <w:sz w:val="24"/>
          <w:szCs w:val="24"/>
          <w:color w:val="000000"/>
        </w:rPr>
        <w:t xml:space="preserve">Table </w:t>
      </w:r>
      <w:bookmarkStart w:id="b48f805c-aed6-4e91-b18b-726698a8235d" w:name="irtpartab"/>
      <w:r>
        <w:rPr>
          <w:rFonts w:ascii="Segoe UI" w:hAnsi="Segoe UI" w:eastAsia="Segoe UI" w:cs="Segoe UI"/>
          <w:i w:val="true"/>
          <w:b w:val="false"/>
          <w:u w:val="none"/>
          <w:sz w:val="24"/>
          <w:szCs w:val="24"/>
          <w:color w:val="000000"/>
        </w:rPr>
        <w:fldChar w:fldCharType="begin" w:dirty="true"/>
      </w:r>
      <w:r>
        <w:rPr>
          <w:rFonts w:ascii="Segoe UI" w:hAnsi="Segoe UI" w:eastAsia="Segoe UI" w:cs="Segoe UI"/>
          <w:i w:val="true"/>
          <w:b w:val="false"/>
          <w:u w:val="none"/>
          <w:sz w:val="24"/>
          <w:szCs w:val="24"/>
          <w:color w:val="000000"/>
        </w:rPr>
        <w:instrText xml:space="preserve" w:dirty="true">SEQ table \* Arabic</w:instrText>
      </w:r>
      <w:r>
        <w:rPr>
          <w:rFonts w:ascii="Segoe UI" w:hAnsi="Segoe UI" w:eastAsia="Segoe UI" w:cs="Segoe UI"/>
          <w:i w:val="true"/>
          <w:b w:val="false"/>
          <w:u w:val="none"/>
          <w:sz w:val="24"/>
          <w:szCs w:val="24"/>
          <w:color w:val="000000"/>
        </w:rPr>
        <w:fldChar w:fldCharType="end" w:dirty="true"/>
      </w:r>
      <w:bookmarkEnd w:id="b48f805c-aed6-4e91-b18b-726698a8235d"/>
      <w:r>
        <w:rPr>
          <w:rFonts w:ascii="Segoe UI" w:hAnsi="Segoe UI" w:eastAsia="Segoe UI" w:cs="Segoe UI"/>
          <w:i w:val="true"/>
          <w:b w:val="false"/>
          <w:u w:val="none"/>
          <w:sz w:val="24"/>
          <w:szCs w:val="24"/>
          <w:color w:val="000000"/>
        </w:rPr>
        <w:t xml:space="preserve">: </w:t>
      </w:r>
      <w:r>
        <w:t xml:space="preserve">Summary of posterior distributions for parameters in the IRT model that are not village- or item-specific.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420"/>
        <w:gridCol w:w="1279"/>
        <w:gridCol w:w="1192"/>
        <w:gridCol w:w="1279"/>
        <w:gridCol w:w="1279"/>
        <w:gridCol w:w="1192"/>
      </w:tblGrid>
      <w:tr>
        <w:trPr>
          <w:trHeight w:val="55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P50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P95</w:t>
            </w:r>
          </w:p>
        </w:tc>
      </w:tr>
      <w:tr>
        <w:trPr>
          <w:trHeight w:val="69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m:oMath xmlns:mml="http://www.w3.org/1998/Math/MathML"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-2.522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0.698</w:t>
            </w:r>
          </w:p>
        </w:tc>
      </w:tr>
      <w:tr>
        <w:trPr>
          <w:trHeight w:val="69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m:oMath xmlns:mml="http://www.w3.org/1998/Math/MathML"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3.205</w:t>
            </w:r>
          </w:p>
        </w:tc>
      </w:tr>
      <w:tr>
        <w:trPr>
          <w:trHeight w:val="69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m:oMath xmlns:mml="http://www.w3.org/1998/Math/MathML">
              <m:r>
                <m:t>α</m:t>
              </m:r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0.616</w:t>
            </w:r>
          </w:p>
        </w:tc>
      </w:tr>
      <w:tr>
        <w:trPr>
          <w:trHeight w:val="69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m:oMath xmlns:mml="http://www.w3.org/1998/Math/MathML"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2.146</w:t>
            </w:r>
          </w:p>
        </w:tc>
      </w:tr>
      <w:tr>
        <w:trPr>
          <w:trHeight w:val="69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m:oMath xmlns:mml="http://www.w3.org/1998/Math/MathML"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4.237</w:t>
            </w:r>
          </w:p>
        </w:tc>
      </w:tr>
      <w:tr>
        <w:trPr>
          <w:trHeight w:val="6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m:oMath xmlns:mml="http://www.w3.org/1998/Math/MathML">
              <m:sSub>
                <m:e>
                  <m:r>
                    <m:t>μ</m:t>
                  </m:r>
                </m:e>
                <m:sub>
                  <m:r>
                    <m:t>3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3.087</w:t>
            </w:r>
          </w:p>
        </w:tc>
      </w:tr>
      <w:tr>
        <w:trPr>
          <w:trHeight w:val="6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m:oMath xmlns:mml="http://www.w3.org/1998/Math/MathML">
              <m:sSub>
                <m:e>
                  <m:r>
                    <m:t>μ</m:t>
                  </m:r>
                </m:e>
                <m:sub>
                  <m:r>
                    <m:t>4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4.061</w:t>
            </w:r>
          </w:p>
        </w:tc>
      </w:tr>
      <w:tr>
        <w:trPr>
          <w:trHeight w:val="69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m:oMath xmlns:mml="http://www.w3.org/1998/Math/MathML">
              <m:sSub>
                <m:e>
                  <m:r>
                    <m:t>σ</m:t>
                  </m:r>
                </m:e>
                <m:sub>
                  <m:r>
                    <m:t>b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3.436</w:t>
            </w:r>
          </w:p>
        </w:tc>
      </w:tr>
      <w:tr>
        <w:trPr>
          <w:trHeight w:val="69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m:oMath xmlns:mml="http://www.w3.org/1998/Math/MathML">
              <m:sSub>
                <m:e>
                  <m:r>
                    <m:t>σ</m:t>
                  </m:r>
                </m:e>
                <m:sub>
                  <m:r>
                    <m:t>a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0.835</w:t>
            </w:r>
          </w:p>
        </w:tc>
      </w:tr>
      <w:tr>
        <w:trPr>
          <w:trHeight w:val="69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m:oMath xmlns:mml="http://www.w3.org/1998/Math/MathML">
              <m:sSub>
                <m:e>
                  <m:r>
                    <m:t>σ</m:t>
                  </m:r>
                </m:e>
                <m:sub>
                  <m:r>
                    <m:rPr>
                      <m:nor/>
                    </m:rPr>
                    <m:t>Gov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69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m:oMath xmlns:mml="http://www.w3.org/1998/Math/MathML">
              <m:sSub>
                <m:e>
                  <m:r>
                    <m:t>σ</m:t>
                  </m:r>
                </m:e>
                <m:sub>
                  <m:r>
                    <m:rPr>
                      <m:nor/>
                    </m:rPr>
                    <m:t>Out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69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m:oMath xmlns:mml="http://www.w3.org/1998/Math/MathML">
              <m:sSub>
                <m:e>
                  <m:r>
                    <m:t>ρ</m:t>
                  </m:r>
                </m:e>
                <m:sub>
                  <m:r>
                    <m:t>a,b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</w:t>
            </w:r>
          </w:p>
        </w:tc>
      </w:tr>
      <w:tr>
        <w:trPr>
          <w:trHeight w:val="699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m:oMath xmlns:mml="http://www.w3.org/1998/Math/MathML">
              <m:sSub>
                <m:e>
                  <m:r>
                    <m:t>ρ</m:t>
                  </m:r>
                </m:e>
                <m:sub>
                  <m:r>
                    <m:rPr>
                      <m:nor/>
                    </m:rPr>
                    <m:t>Gov</m:t>
                  </m:r>
                  <m:r>
                    <m:t>,</m:t>
                  </m:r>
                  <m:r>
                    <m:rPr>
                      <m:nor/>
                    </m:rPr>
                    <m:t>Out</m:t>
                  </m:r>
                </m:sub>
              </m:sSub>
            </m:oMath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0.525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0.594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0.957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'P' refers to percentile.</w:t>
            </w:r>
          </w:p>
        </w:tc>
      </w:tr>
    </w:tbl>
    <w:p>
      <w:r>
        <w:br w:type="page"/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Segoe UI" w:hAnsi="Segoe UI" w:eastAsia="Segoe UI" w:cs="Segoe UI"/>
          <w:i w:val="true"/>
          <w:b w:val="false"/>
          <w:u w:val="none"/>
          <w:sz w:val="24"/>
          <w:szCs w:val="24"/>
          <w:color w:val="000000"/>
        </w:rPr>
        <w:t xml:space="preserve">Table </w:t>
      </w:r>
      <w:bookmarkStart w:id="0f13865b-2ce0-49a0-9037-6b0b4cec234a" w:name="barepartab"/>
      <w:r>
        <w:rPr>
          <w:rFonts w:ascii="Segoe UI" w:hAnsi="Segoe UI" w:eastAsia="Segoe UI" w:cs="Segoe UI"/>
          <w:i w:val="true"/>
          <w:b w:val="false"/>
          <w:u w:val="none"/>
          <w:sz w:val="24"/>
          <w:szCs w:val="24"/>
          <w:color w:val="000000"/>
        </w:rPr>
        <w:fldChar w:fldCharType="begin" w:dirty="true"/>
      </w:r>
      <w:r>
        <w:rPr>
          <w:rFonts w:ascii="Segoe UI" w:hAnsi="Segoe UI" w:eastAsia="Segoe UI" w:cs="Segoe UI"/>
          <w:i w:val="true"/>
          <w:b w:val="false"/>
          <w:u w:val="none"/>
          <w:sz w:val="24"/>
          <w:szCs w:val="24"/>
          <w:color w:val="000000"/>
        </w:rPr>
        <w:instrText xml:space="preserve" w:dirty="true">SEQ table \* Arabic</w:instrText>
      </w:r>
      <w:r>
        <w:rPr>
          <w:rFonts w:ascii="Segoe UI" w:hAnsi="Segoe UI" w:eastAsia="Segoe UI" w:cs="Segoe UI"/>
          <w:i w:val="true"/>
          <w:b w:val="false"/>
          <w:u w:val="none"/>
          <w:sz w:val="24"/>
          <w:szCs w:val="24"/>
          <w:color w:val="000000"/>
        </w:rPr>
        <w:fldChar w:fldCharType="end" w:dirty="true"/>
      </w:r>
      <w:bookmarkEnd w:id="0f13865b-2ce0-49a0-9037-6b0b4cec234a"/>
      <w:r>
        <w:rPr>
          <w:rFonts w:ascii="Segoe UI" w:hAnsi="Segoe UI" w:eastAsia="Segoe UI" w:cs="Segoe UI"/>
          <w:i w:val="true"/>
          <w:b w:val="false"/>
          <w:u w:val="none"/>
          <w:sz w:val="24"/>
          <w:szCs w:val="24"/>
          <w:color w:val="000000"/>
        </w:rPr>
        <w:t xml:space="preserve">: </w:t>
      </w:r>
      <w:r>
        <w:t xml:space="preserve">Summary of posterior distributions for parameters in the regression for bare ground cover.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420"/>
        <w:gridCol w:w="1279"/>
        <w:gridCol w:w="1192"/>
        <w:gridCol w:w="1279"/>
        <w:gridCol w:w="1279"/>
        <w:gridCol w:w="1192"/>
      </w:tblGrid>
      <w:tr>
        <w:trPr>
          <w:trHeight w:val="55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P50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P95</w:t>
            </w:r>
          </w:p>
        </w:tc>
      </w:tr>
      <w:tr>
        <w:trPr>
          <w:trHeight w:val="69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m:oMath xmlns:mml="http://www.w3.org/1998/Math/MathML">
              <m:sSub>
                <m:e>
                  <m:r>
                    <m:t>γ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</w:t>
            </w:r>
          </w:p>
        </w:tc>
      </w:tr>
      <w:tr>
        <w:trPr>
          <w:trHeight w:val="69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m:oMath xmlns:mml="http://www.w3.org/1998/Math/MathML">
              <m:sSub>
                <m:e>
                  <m:r>
                    <m:t>γ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1.232</w:t>
            </w:r>
          </w:p>
        </w:tc>
      </w:tr>
      <w:tr>
        <w:trPr>
          <w:trHeight w:val="69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m:oMath xmlns:mml="http://www.w3.org/1998/Math/MathML">
              <m:sSub>
                <m:e>
                  <m:r>
                    <m:t>γ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</w:t>
            </w:r>
          </w:p>
        </w:tc>
      </w:tr>
      <w:tr>
        <w:trPr>
          <w:trHeight w:val="69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m:oMath xmlns:mml="http://www.w3.org/1998/Math/MathML">
              <m:sSub>
                <m:e>
                  <m:r>
                    <m:t>γ</m:t>
                  </m:r>
                </m:e>
                <m:sub>
                  <m:r>
                    <m:t>3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0.238</w:t>
            </w:r>
          </w:p>
        </w:tc>
      </w:tr>
      <w:tr>
        <w:trPr>
          <w:trHeight w:val="69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m:oMath xmlns:mml="http://www.w3.org/1998/Math/MathML">
              <m:sSub>
                <m:e>
                  <m:r>
                    <m:t>γ</m:t>
                  </m:r>
                </m:e>
                <m:sub>
                  <m:r>
                    <m:t>4</m:t>
                  </m:r>
                </m:sub>
              </m:sSub>
            </m:oMath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</w:t>
            </w:r>
          </w:p>
        </w:tc>
      </w:tr>
      <w:tr>
        <w:trPr>
          <w:trHeight w:val="699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m:oMath xmlns:mml="http://www.w3.org/1998/Math/MathML">
              <m:r>
                <m:t>σ</m:t>
              </m:r>
            </m:oMath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0.206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'P' refers to percentile.</w:t>
            </w:r>
          </w:p>
        </w:tc>
      </w:tr>
    </w:tbl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2024-11-16T11:22:01Z</dcterms:created>
  <dcterms:modified xsi:type="dcterms:W3CDTF">2024-11-16T12:22:01Z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