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554b8719-3de6-42c7-87c3-156e7f32e86c" w:name="irt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554b8719-3de6-42c7-87c3-156e7f32e86c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IRT model that are not village- or item-specific.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6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3.205</w:t>
            </w:r>
          </w:p>
        </w:tc>
      </w:tr>
      <w:tr>
        <w:trPr>
          <w:trHeight w:val="69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r>
                <m:t>α</m:t>
              </m:r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</w:t>
            </w:r>
          </w:p>
        </w:tc>
      </w:tr>
      <w:tr>
        <w:trPr>
          <w:trHeight w:val="6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2.146</w:t>
            </w:r>
          </w:p>
        </w:tc>
      </w:tr>
      <w:tr>
        <w:trPr>
          <w:trHeight w:val="6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4.237</w:t>
            </w:r>
          </w:p>
        </w:tc>
      </w:tr>
      <w:tr>
        <w:trPr>
          <w:trHeight w:val="6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3.087</w:t>
            </w:r>
          </w:p>
        </w:tc>
      </w:tr>
      <w:tr>
        <w:trPr>
          <w:trHeight w:val="6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4.061</w:t>
            </w:r>
          </w:p>
        </w:tc>
      </w:tr>
      <w:tr>
        <w:trPr>
          <w:trHeight w:val="6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3.436</w:t>
            </w:r>
          </w:p>
        </w:tc>
      </w:tr>
      <w:tr>
        <w:trPr>
          <w:trHeight w:val="6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6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Gov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t>a,b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69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rPr>
                      <m:nor/>
                    </m:rPr>
                    <m:t>Gov</m:t>
                  </m:r>
                  <m:r>
                    <m:t>,</m:t>
                  </m:r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aeec3b79-a1c9-42f3-8bcc-a5815a788a66" w:name="bare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aeec3b79-a1c9-42f3-8bcc-a5815a788a66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regression for bare ground cover.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trHeight w:val="6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</w:t>
            </w:r>
          </w:p>
        </w:tc>
      </w:tr>
      <w:tr>
        <w:trPr>
          <w:trHeight w:val="6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6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69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69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r>
                <m:t>σ</m:t>
              </m:r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2024-11-02T14:47:00Z</dcterms:created>
  <dcterms:modified xsi:type="dcterms:W3CDTF">2024-11-02T15:47:00Z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