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11827"/>
          <w:sz w:val="40"/>
        </w:rPr>
        <w:t>7 Logistics Automations Driving Modern Supply Chains</w:t>
      </w:r>
    </w:p>
    <w:p>
      <w:r>
        <w:rPr>
          <w:rFonts w:ascii="Calibri" w:hAnsi="Calibri"/>
          <w:i/>
          <w:color w:val="4B5563"/>
          <w:sz w:val="18"/>
        </w:rPr>
        <w:t>Meta Title: 7 Essential Logistics Automations for Modern Freight</w:t>
        <w:br/>
        <w:t>Meta Description: Discover how load planning, route schedules, container tracking APIs, and automated documentation streamline modern supply chain logistics.</w:t>
      </w:r>
    </w:p>
    <w:p/>
    <w:p>
      <w:r>
        <w:t>Manual freight management creates operational friction, human error, and unnecessary overhead. Transitioning toward API-first logistics allows supply chain teams to embed live data directly into internal workflows, eliminating tedious manual data entry and improving resource deployment across international trade lanes.</w:t>
      </w:r>
    </w:p>
    <w:p>
      <w:pPr>
        <w:pStyle w:val="Heading3"/>
      </w:pPr>
      <w:r>
        <w:rPr>
          <w:rFonts w:ascii="Calibri" w:hAnsi="Calibri"/>
          <w:b/>
          <w:color w:val="1F2937"/>
          <w:sz w:val="26"/>
        </w:rPr>
        <w:t>1. Intelligent load planning and space optimization</w:t>
      </w:r>
    </w:p>
    <w:p>
      <w:r>
        <w:t>Proper cargo distribution lays the foundation for cost efficiency in containerized transport. Connecting directly to the Load Calculator API helps freight handlers automatically determine exact equipment requirements while protecting shipments from load-bearing penalties.</w:t>
      </w:r>
    </w:p>
    <w:p>
      <w:r>
        <w:t>Consider a practical scenario:</w:t>
      </w:r>
    </w:p>
    <w:p>
      <w:r/>
      <w:r>
        <w:rPr>
          <w:b/>
        </w:rPr>
        <w:t>Shipment Parameters:</w:t>
      </w:r>
      <w:r/>
    </w:p>
    <w:p>
      <w:pPr>
        <w:pStyle w:val="ListBullet"/>
      </w:pPr>
      <w:r>
        <w:t>Payload category: General cargo</w:t>
      </w:r>
    </w:p>
    <w:p>
      <w:pPr>
        <w:pStyle w:val="ListBullet"/>
      </w:pPr>
      <w:r>
        <w:t>Gross weight: 10,000 kg</w:t>
      </w:r>
    </w:p>
    <w:p>
      <w:pPr>
        <w:pStyle w:val="ListBullet"/>
      </w:pPr>
      <w:r>
        <w:t>Equipment specification: 40' High Cube (HC)</w:t>
      </w:r>
    </w:p>
    <w:p>
      <w:pPr>
        <w:pStyle w:val="ListBullet"/>
      </w:pPr>
      <w:r>
        <w:t>Cargo volume: 67.7 m³</w:t>
      </w:r>
    </w:p>
    <w:p>
      <w:pPr>
        <w:pStyle w:val="ListBullet"/>
      </w:pPr>
      <w:r>
        <w:t>Dimensions: 12 m (L) x 2.4 m (W) x 2.6 m (H)</w:t>
      </w:r>
    </w:p>
    <w:p>
      <w:r/>
      <w:r>
        <w:rPr>
          <w:b/>
        </w:rPr>
        <w:t>Automated Calculation Output:</w:t>
      </w:r>
      <w:r/>
    </w:p>
    <w:p>
      <w:pPr>
        <w:pStyle w:val="ListBullet"/>
      </w:pPr>
      <w:r>
        <w:t>Equipment requirement: 1 container</w:t>
      </w:r>
    </w:p>
    <w:p>
      <w:pPr>
        <w:pStyle w:val="ListBullet"/>
      </w:pPr>
      <w:r>
        <w:t>Maximum payload capacity: 10,500 kg</w:t>
      </w:r>
    </w:p>
    <w:p>
      <w:pPr>
        <w:pStyle w:val="ListBullet"/>
      </w:pPr>
      <w:r>
        <w:t>Maximum volume allowance: 80 m³</w:t>
      </w:r>
    </w:p>
    <w:p>
      <w:pPr>
        <w:pStyle w:val="ListBullet"/>
      </w:pPr>
      <w:r>
        <w:t>Weight capacity utilized: 95% (10,000 kg loaded of 10,500 kg limit)</w:t>
      </w:r>
    </w:p>
    <w:p>
      <w:pPr>
        <w:pStyle w:val="ListBullet"/>
      </w:pPr>
      <w:r>
        <w:t>Volume capacity utilized: 85% (67.7 m³ loaded of 80 m³ limit)</w:t>
      </w:r>
    </w:p>
    <w:p>
      <w:pPr>
        <w:pStyle w:val="ListBullet"/>
      </w:pPr>
      <w:r>
        <w:t>Remaining weight allowance: 500 kg</w:t>
      </w:r>
    </w:p>
    <w:p>
      <w:pPr>
        <w:pStyle w:val="ListBullet"/>
      </w:pPr>
      <w:r>
        <w:t>Remaining volume allowance: 12.3 m³</w:t>
      </w:r>
    </w:p>
    <w:p>
      <w:r>
        <w:t>Automating this calculation prevents cargo damage, maximizes container space usage, and saves hours of manual spreadsheet work.</w:t>
      </w:r>
    </w:p>
    <w:p>
      <w:pPr>
        <w:pStyle w:val="Heading3"/>
      </w:pPr>
      <w:r>
        <w:rPr>
          <w:rFonts w:ascii="Calibri" w:hAnsi="Calibri"/>
          <w:b/>
          <w:color w:val="1F2937"/>
          <w:sz w:val="26"/>
        </w:rPr>
        <w:t>2. Dynamic vessel scheduling and voyage matching</w:t>
      </w:r>
    </w:p>
    <w:p>
      <w:r>
        <w:t>Finding the right carrier schedule requires real-time data from ocean lines. The Ship Schedules API integrates sailing schedules across ports, vessels, and specific routes directly into existing CRM, TMS, or ERP platforms.</w:t>
      </w:r>
    </w:p>
    <w:p>
      <w:r>
        <w:t>Querying options support three distinct workflows:</w:t>
      </w:r>
    </w:p>
    <w:p>
      <w:pPr>
        <w:pStyle w:val="ListBullet"/>
      </w:pPr>
      <w:r>
        <w:t>Point-to-point lookup: Defining origin and destination points surfaces active ocean voyages. A query for departure at Shanghai (CNSHA) and arrival at Rotterdam (NLRTM) reveals an MSC Dragon voyage departing November 12, 2025, arriving November 26, 2025, with a 14-day transit time.</w:t>
      </w:r>
    </w:p>
    <w:p>
      <w:pPr>
        <w:pStyle w:val="ListBullet"/>
      </w:pPr>
      <w:r>
        <w:t>Vessel tracking: Entering a vessel name such as MSC Dragon or IMO number 1234567890 retrieves upcoming sailing schedules within a target timeframe.</w:t>
      </w:r>
    </w:p>
    <w:p>
      <w:pPr>
        <w:pStyle w:val="ListBullet"/>
      </w:pPr>
      <w:r>
        <w:t>Port-level departure and arrival schedules: Searching Shanghai (CNSHA) lists outbound departures like MSC Dragon alongside inbound vessel movements such as Maersk Line 123 with its 14-day transit time.</w:t>
      </w:r>
    </w:p>
    <w:p>
      <w:pPr>
        <w:pStyle w:val="Heading3"/>
      </w:pPr>
      <w:r>
        <w:rPr>
          <w:rFonts w:ascii="Calibri" w:hAnsi="Calibri"/>
          <w:b/>
          <w:color w:val="1F2937"/>
          <w:sz w:val="26"/>
        </w:rPr>
        <w:t>3. Multimodal transit time and distance calculations</w:t>
      </w:r>
    </w:p>
    <w:p>
      <w:r>
        <w:t>Determining accurate transit expectations demands combining road, sea, air, and rail legs into a single calculation. The Distance &amp; Time tool automates transit estimations based on historical carrier datasets and real-world geography.</w:t>
      </w:r>
    </w:p>
    <w:p>
      <w:r>
        <w:t>An example multimodal shipment from Munich to Cairo illustrates the breakdown:</w:t>
      </w:r>
    </w:p>
    <w:p>
      <w:pPr>
        <w:pStyle w:val="ListBullet"/>
      </w:pPr>
      <w:r>
        <w:t>Road pickup leg: Gaertnerplatz in Munich to Hamburg port requires 20 hours by road.</w:t>
      </w:r>
    </w:p>
    <w:p>
      <w:pPr>
        <w:pStyle w:val="ListBullet"/>
      </w:pPr>
      <w:r>
        <w:t>Main maritime leg: Hamburg port to Ain Sukhna port requires 10 days and 21 hours by sea (compared to direct historical CMA CGM transit figures of 34 days).</w:t>
      </w:r>
    </w:p>
    <w:p>
      <w:pPr>
        <w:pStyle w:val="ListBullet"/>
      </w:pPr>
      <w:r>
        <w:t>Final drayage leg: Ain Sukhna port to the distribution facility located at Bab al Luq, Cairo, Egypt takes 3 hours by road.</w:t>
      </w:r>
    </w:p>
    <w:p>
      <w:pPr>
        <w:pStyle w:val="ListBullet"/>
      </w:pPr>
      <w:r>
        <w:t>Combined calculated transit time: 11 days and 20 hours.</w:t>
      </w:r>
    </w:p>
    <w:p>
      <w:pPr>
        <w:pStyle w:val="Heading3"/>
      </w:pPr>
      <w:r>
        <w:rPr>
          <w:rFonts w:ascii="Calibri" w:hAnsi="Calibri"/>
          <w:b/>
          <w:color w:val="1F2937"/>
          <w:sz w:val="26"/>
        </w:rPr>
        <w:t>4. Automated rate management, benchmarking, and booking</w:t>
      </w:r>
    </w:p>
    <w:p>
      <w:r>
        <w:t>Comparing spot and contract rates across ocean lines normally demands endless manual lookup. Integrating the Logistics Explorer API provides a centralized workspace to view real-time carrier rates, evaluate route parameters, and review itemized pricing breakdowns.</w:t>
      </w:r>
    </w:p>
    <w:p>
      <w:r>
        <w:t>Through integrated Booking API capabilities, dispatchers can lock in tariffs, secure vessel space, and instantly issue digital quotations or booking confirmations. The system maintains ongoing financial tracking, carrier relationship updates, and pickup coordination.</w:t>
      </w:r>
    </w:p>
    <w:p>
      <w:pPr>
        <w:pStyle w:val="Heading3"/>
      </w:pPr>
      <w:r>
        <w:rPr>
          <w:rFonts w:ascii="Calibri" w:hAnsi="Calibri"/>
          <w:b/>
          <w:color w:val="1F2937"/>
          <w:sz w:val="26"/>
        </w:rPr>
        <w:t>5. Real-time container tracking APIs and exception monitoring</w:t>
      </w:r>
    </w:p>
    <w:p>
      <w:r>
        <w:t>Continuous visibility keeps cargo moving smoothly across transshipment hubs. By using container tracking APIs, logistics teams monitor containers using booking numbers, container IDs, or bills of lading.</w:t>
      </w:r>
    </w:p>
    <w:p>
      <w:r>
        <w:t>The system delivers real-time notifications for departure events, transshipments, customs updates, and live operational analytics. Providing a predictive ETA enables dispatchers to identify potential delays early and reroute shipments before bottlenecks compound.</w:t>
      </w:r>
    </w:p>
    <w:p>
      <w:pPr>
        <w:pStyle w:val="Heading3"/>
      </w:pPr>
      <w:r>
        <w:rPr>
          <w:rFonts w:ascii="Calibri" w:hAnsi="Calibri"/>
          <w:b/>
          <w:color w:val="1F2937"/>
          <w:sz w:val="26"/>
        </w:rPr>
        <w:t>6. Environmental footprint tracking and carbon offsets</w:t>
      </w:r>
    </w:p>
    <w:p>
      <w:r>
        <w:t>Environmental accounting is increasingly mandatory across global supply chains. The Carbon Emissions Calculator API enables precise Scope 3 emissions tracking by evaluating shipment coordinates and transport modes in real time.</w:t>
      </w:r>
    </w:p>
    <w:p>
      <w:r>
        <w:t>For example, a multi-leg route generating 2.45 t of total CO2 (broken down into 0.32 t for trucking and 2.13 t for ocean transit) returns a calculated offset cost of $12.45, allowing companies to automate carbon compensation alongside routine booking processes.</w:t>
      </w:r>
    </w:p>
    <w:p>
      <w:pPr>
        <w:pStyle w:val="Heading3"/>
      </w:pPr>
      <w:r>
        <w:rPr>
          <w:rFonts w:ascii="Calibri" w:hAnsi="Calibri"/>
          <w:b/>
          <w:color w:val="1F2937"/>
          <w:sz w:val="26"/>
        </w:rPr>
        <w:t>7. AI document processing and shipping paperwork automation</w:t>
      </w:r>
    </w:p>
    <w:p>
      <w:r>
        <w:t>Handling paper-heavy ocean documentation introduces administrative bottlenecks. The Smart Documents API automates document creation, customization, e-signing, and archival across crucial transport files. Supported paper types include Quotations, Pro Forma and Commercial Invoices, Packing Lists, Bills of Lading (including House BL), Purchase Orders, VGM certificates, and Certificates of Origin.</w:t>
      </w:r>
    </w:p>
    <w:p>
      <w:r>
        <w:t>Automating these workflows eliminates manual keying errors and saves up to 45 minutes of processing time on every single shipment.</w:t>
      </w:r>
    </w:p>
    <w:p>
      <w:r>
        <w:t>Connecting load optimization, vessel schedules, route transit estimates, rate comparisons, live tracking, carbon offsetting, and document automation strengthens supply chain resilience while reducing operational costs. For integration support, contact it.sales@searates.com.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