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Blank Sailings 2025: Tariff War and Capacity</w:t>
      </w:r>
    </w:p>
    <w:p>
      <w:r>
        <w:rPr>
          <w:b/>
          <w:sz w:val="18"/>
        </w:rPr>
        <w:t xml:space="preserve">Meta Title: </w:t>
      </w:r>
      <w:r>
        <w:rPr>
          <w:i/>
          <w:sz w:val="18"/>
        </w:rPr>
        <w:t>Blank Sailings 2025 and Ocean Freight Tariffs</w:t>
      </w:r>
    </w:p>
    <w:p>
      <w:r>
        <w:rPr>
          <w:b/>
          <w:sz w:val="18"/>
        </w:rPr>
        <w:t xml:space="preserve">Meta Description: </w:t>
      </w:r>
      <w:r>
        <w:rPr>
          <w:i/>
          <w:sz w:val="18"/>
        </w:rPr>
        <w:t>Carriers cut capacity as ocean freight tariffs rise. Track blank sailings 2025 and vessel schedule reliability with SeaRates supply chain visibility API.</w:t>
      </w:r>
    </w:p>
    <w:p/>
    <w:p>
      <w:pPr>
        <w:spacing w:line="276" w:lineRule="auto" w:after="120"/>
      </w:pPr>
      <w:r>
        <w:t>Ocean carriers manage market turbulence by erasing scheduled voyages from global trade maps. When a shipping line implements a blank sailing, it cancels a planned voyage or skips specific port calls along a route. The service is entirely removed rather than delayed, creating immediate reductions in available shipping space, unpredictable transit times, and disruption across global supply chain schedules.</w:t>
      </w:r>
    </w:p>
    <w:p>
      <w:pPr>
        <w:spacing w:line="276" w:lineRule="auto" w:after="120"/>
      </w:pPr>
      <w:r>
        <w:t>Proposed U.S. import duties, new ocean freight tariffs, and Donald Trump's 2025 tariff plans have raised renewed fears of a trade war between the US and China. Shippers are accelerating moves to front-load shipments from Asia to beat impending cost increases. Retailers and manufacturers build inventory buffers before rate hikes take effect, causing brief spikes in booking volumes followed by steep drops in demand. This volatility undermines schedule stability and leaves carriers with excess vessel capacity. To protect spot rates from collapsing, global carriers resort to carrier alliances blanking strategy across major trade corridors, particularly trans-Pacific and Asia-Europe routes.</w:t>
      </w:r>
    </w:p>
    <w:p>
      <w:pPr>
        <w:spacing w:line="276" w:lineRule="auto" w:after="120"/>
      </w:pPr>
      <w:r>
        <w:t>The resulting transpacific container capacity reductions show up clearly in market data:</w:t>
      </w:r>
    </w:p>
    <w:p>
      <w:pPr>
        <w:pStyle w:val="ListBullet"/>
      </w:pPr>
      <w:r>
        <w:t>Asia to North America West Coast capacity fell 12% over six weeks, dropping from 1.43 million to 1.37 million TEU.</w:t>
      </w:r>
    </w:p>
    <w:p>
      <w:pPr>
        <w:pStyle w:val="ListBullet"/>
      </w:pPr>
      <w:r>
        <w:t>Asia to North America East Coast capacity declined 14%, moving from 1.01 million to 867 thousand TEU.</w:t>
      </w:r>
    </w:p>
    <w:p>
      <w:pPr>
        <w:pStyle w:val="ListBullet"/>
      </w:pPr>
      <w:r>
        <w:t>Peak weeks see 28% to 42% of total weekly capacity withdrawn through cancelled sailings.</w:t>
      </w:r>
    </w:p>
    <w:p>
      <w:pPr>
        <w:pStyle w:val="ListBullet"/>
      </w:pPr>
      <w:r>
        <w:t>Major U.S. gateways like Los Angeles and Long Beach face average turnaround hold-ups ranging from 7 to 10 days, overloading regional warehouse networks.</w:t>
      </w:r>
    </w:p>
    <w:p>
      <w:pPr>
        <w:pStyle w:val="ListBullet"/>
      </w:pPr>
      <w:r>
        <w:t>As of April 17, 2025, the Drewry World Container Index recorded a 3% weekly drop, settling at $2,192 per 40-foot container.</w:t>
      </w:r>
    </w:p>
    <w:p>
      <w:pPr>
        <w:spacing w:line="276" w:lineRule="auto" w:after="120"/>
      </w:pPr>
      <w:r>
        <w:t>Port congestion and delays at Chinese hubs have forced widespread service adjustments. Carriers have suspended direct sailings between major Chinese ports and U.S. destinations or rerouted cargo through Mediterranean transshipment hubs. Feeder networks face heavy strain, transshipment delays have lengthened, and smaller European ports struggle to absorb irregular container volumes.</w:t>
      </w:r>
    </w:p>
    <w:p>
      <w:pPr>
        <w:spacing w:line="276" w:lineRule="auto" w:after="120"/>
      </w:pPr>
      <w:r>
        <w:t>Contracting conditions have grown turbulent as well. Shippers without massive volume leverage find themselves bumped from scheduled sailings despite holding signed agreements. Meanwhile, large beneficial cargo owners negotiate long-term terms with carriers, trading higher base freight rates for guaranteed space access. Access has become significantly more valuable than base ocean freight pricing.</w:t>
      </w:r>
    </w:p>
    <w:p>
      <w:pPr>
        <w:spacing w:line="276" w:lineRule="auto" w:after="120"/>
      </w:pPr>
      <w:r>
        <w:t>Major vessel alliances, including Ocean Alliance and THE Alliance, have consolidated services around fewer destination ports. While nominal schedule reliability remains above 85%, actual sailings have dropped sharply. Alliance members prioritize vessel space utilization over total volume share, electing to cancel multiple voyages to avoid running underbooked ships.</w:t>
      </w:r>
    </w:p>
    <w:p>
      <w:pPr>
        <w:spacing w:line="276" w:lineRule="auto" w:after="120"/>
      </w:pPr>
      <w:r>
        <w:t>Cargo owners adjust to these conditions through several operational strategies:</w:t>
      </w:r>
    </w:p>
    <w:p>
      <w:pPr>
        <w:pStyle w:val="ListBullet"/>
      </w:pPr>
      <w:r>
        <w:t>Nearshoring production facilities to Mexico or Southeast Europe.</w:t>
      </w:r>
    </w:p>
    <w:p>
      <w:pPr>
        <w:pStyle w:val="ListBullet"/>
      </w:pPr>
      <w:r>
        <w:t>Route diversification through regional gateways like Gdańsk, Valencia, and Savannah.</w:t>
      </w:r>
    </w:p>
    <w:p>
      <w:pPr>
        <w:pStyle w:val="ListBullet"/>
      </w:pPr>
      <w:r>
        <w:t>Shifting urgent freight to air transport modes.</w:t>
      </w:r>
    </w:p>
    <w:p>
      <w:pPr>
        <w:pStyle w:val="ListBullet"/>
      </w:pPr>
      <w:r>
        <w:t>Deploying web logistics platforms to track live capacity and route shifts.</w:t>
      </w:r>
    </w:p>
    <w:p>
      <w:pPr>
        <w:spacing w:line="276" w:lineRule="auto" w:after="120"/>
      </w:pPr>
      <w:r>
        <w:t>Looking ahead, the divide across ocean trade lanes may deepen through Q3 and Q4. Without a steady peak season, the market risks further splitting between agile cargo owners who secure space early and operators left facing last-minute port skips and sudden rate swings.</w:t>
      </w:r>
    </w:p>
    <w:p>
      <w:pPr>
        <w:spacing w:line="276" w:lineRule="auto" w:after="120"/>
      </w:pPr>
      <w:r>
        <w:t>To navigate these disruptions, retail and enterprise logistics teams focus on risk management. Retailers prepare for longer transit times on imported consumer goods like apparel, electronics, and groceries, comparing multi-carrier rates and planning inventory purchases to prevent stockouts. Enterprise teams diversify supplier networks, implement predictive analytics, and utilize live tracking tools.</w:t>
      </w:r>
    </w:p>
    <w:p>
      <w:pPr>
        <w:spacing w:line="276" w:lineRule="auto" w:after="120"/>
      </w:pPr>
      <w:r>
        <w:t>SeaRates Container Tracking helps teams maintain visibility when carrier schedules shift. Operators monitor shipments by container number, bill of lading, or booking number, receiving real-time data from over 200 ocean carriers and leasing companies in one interface. The system delivers predictive ETAs, voyage details, and automated alerts across 25 shipment exception types. For deeper automation, ocean freight tracking tools integrate directly into operational workflows via web interfaces and the SeaRates supply chain visibility 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