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Cargo Insurance Myths, Exclusions, and Realities</w:t>
      </w:r>
    </w:p>
    <w:p>
      <w:r>
        <w:rPr>
          <w:i/>
          <w:sz w:val="18"/>
        </w:rPr>
        <w:t>Meta Title: Marine Cargo Insurance Myths and Realities | SeaRates</w:t>
      </w:r>
    </w:p>
    <w:p>
      <w:r>
        <w:rPr>
          <w:i/>
          <w:sz w:val="18"/>
        </w:rPr>
        <w:t>Meta Description: Uncover the real limits of carrier liability, policy exclusions, general average, and salvage costs in ocean shipping.</w:t>
      </w:r>
    </w:p>
    <w:p/>
    <w:p>
      <w:r>
        <w:t>An ocean transit puts freight up against high seas, violent weather, and unpredictable marine accidents. Buying cargo insurance seems simple, but misunderstandings about how policies function often lead shippers into costly surprises.</w:t>
      </w:r>
    </w:p>
    <w:p>
      <w:pPr>
        <w:pStyle w:val="Heading2"/>
      </w:pPr>
      <w:r>
        <w:t>Policy structures and risk assessment</w:t>
      </w:r>
    </w:p>
    <w:p>
      <w:r>
        <w:t>Coverage varies depending on policy terms and the cause of a loss. Shippers select from three primary options: all risk coverage protects against most damage except explicit exclusions, named perils coverage applies only to specified events like fire, collision, or theft, and limited coverage restricts reimbursement to narrow conditions. Marine underwriters establish premiums and terms based on cargo type, chosen trade routes, and transportation modes, requiring higher rates when ships transit high-risk areas.</w:t>
      </w:r>
    </w:p>
    <w:p>
      <w:pPr>
        <w:pStyle w:val="Heading2"/>
      </w:pPr>
      <w:r>
        <w:t>Statutory limits on carrier liability</w:t>
      </w:r>
    </w:p>
    <w:p>
      <w:r>
        <w:t>Many cargo owners assume a vessel operator will automatically reimburse the full value of damaged or lost freight. International treaties such as the Hague-Visby Rules establish legal obligations for ocean carriers to care for cargo during transit. However, that legal liability comes with fixed caps based on cargo weight rather than commercial value.</w:t>
      </w:r>
    </w:p>
    <w:p>
      <w:r>
        <w:t>When a high-value shipment suffers damage in a vessel collision, carrier payouts may cover only a small fraction of the total loss. Ocean carriers are also exempt from liability in specific legal scenarios, including inherent defects in cargo or inadequate packaging by the shipper.</w:t>
      </w:r>
    </w:p>
    <w:p>
      <w:r>
        <w:t>Because carrier payouts leave financial gaps, shippers rely on marine insurance to protect cargo value. Continuous tracking helps cargo owners identify transit issues quickly. SeaRates Container Tracking allows shippers to monitor cargo status and location across every stage of the journey.</w:t>
      </w:r>
    </w:p>
    <w:p>
      <w:pPr>
        <w:pStyle w:val="Heading2"/>
      </w:pPr>
      <w:r>
        <w:t>Exclusions that void claims</w:t>
      </w:r>
    </w:p>
    <w:p>
      <w:r>
        <w:t>Insurance policies list explicit terms where claims are denied. Coverage typically excludes inherent vice, which refers to natural properties that cause goods to spoil, such as sugar-rich fruits deteriorating during transit. Policies also exclude routine wear and tear or damage caused when cargo is packaged or loaded improperly.</w:t>
      </w:r>
    </w:p>
    <w:p>
      <w:pPr>
        <w:pStyle w:val="Heading2"/>
      </w:pPr>
      <w:r>
        <w:t>General average and salvage expenses</w:t>
      </w:r>
    </w:p>
    <w:p>
      <w:r>
        <w:t>Accidents at sea can create unexpected financial liabilities for cargo owners through general average and salvage rules. Under maritime law, the general average principle takes effect whenever a vessel and its loaded freight encounter a shared hazard like fire, storm, or hijacking. If the crew jettisons cargo overboard to keep the ship afloat, owners of the remaining cargo must contribute funds to offset the lost goods, creating sudden expenses for shipments that suffered no direct damage.</w:t>
      </w:r>
    </w:p>
    <w:p>
      <w:r>
        <w:t>Salvage charges occur when a ship or cargo faces peril, such as running aground. Operations like towing by tugboats or retrieving submerged goods incur significant costs. Cargo owners share these emergency expenses, which can occasionally exceed the remaining value of the goods themselves.</w:t>
      </w:r>
    </w:p>
    <w:p>
      <w:pPr>
        <w:pStyle w:val="Heading2"/>
      </w:pPr>
      <w:r>
        <w:t>Safeguarding cargo investments</w:t>
      </w:r>
    </w:p>
    <w:p>
      <w:r>
        <w:t>Managing these exposures requires securing marine insurance that covers general average contributions and salvage fees alongside direct physical damage. Working with experienced brokers ensures policy terms match specific cargo characteristics and shipping routes.</w:t>
      </w:r>
    </w:p>
    <w:p>
      <w:r>
        <w:t>Accurate schedule planning also reduces operational timing uncertainties. Shippers can access up-to-date sailing schedules with Ship Schedules to refine transit plans and anticipate potential delays. For guidance on marine cargo insurance, contact the SeaRates team at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