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Arial" w:hAnsi="Arial"/>
          <w:b/>
          <w:color w:val="111827"/>
          <w:sz w:val="40"/>
        </w:rPr>
        <w:t>Cargo vs Freight: A Practical Guide to E-Commerce Shipping Logistics</w:t>
      </w:r>
    </w:p>
    <w:p>
      <w:r>
        <w:rPr>
          <w:rFonts w:ascii="Arial" w:hAnsi="Arial"/>
          <w:b/>
          <w:sz w:val="18"/>
        </w:rPr>
        <w:t xml:space="preserve">Meta Title: </w:t>
      </w:r>
      <w:r>
        <w:rPr>
          <w:rFonts w:ascii="Arial" w:hAnsi="Arial"/>
          <w:i/>
          <w:sz w:val="18"/>
        </w:rPr>
        <w:t>Cargo vs Freight: E-Commerce Shipping Guide</w:t>
      </w:r>
    </w:p>
    <w:p>
      <w:r>
        <w:rPr>
          <w:rFonts w:ascii="Arial" w:hAnsi="Arial"/>
          <w:b/>
          <w:sz w:val="18"/>
        </w:rPr>
        <w:t xml:space="preserve">Meta Description: </w:t>
      </w:r>
      <w:r>
        <w:rPr>
          <w:rFonts w:ascii="Arial" w:hAnsi="Arial"/>
          <w:i/>
          <w:sz w:val="18"/>
        </w:rPr>
        <w:t>Learn the difference between cargo vs freight, LCL cargo delivery savings, weight limits, and bill of lading tracking with SeaRates.</w:t>
      </w:r>
    </w:p>
    <w:p/>
    <w:p>
      <w:r>
        <w:rPr>
          <w:rFonts w:ascii="Arial" w:hAnsi="Arial"/>
          <w:sz w:val="22"/>
        </w:rPr>
        <w:t>Managing e-commerce shipping logistics often boils down to choosing the right transportation format for your inventory. While many shippers use the terms cargo and freight interchangeably, understanding their precise industry definitions optimizes your fulfillment strategy and supply chain efficiency.</w:t>
      </w:r>
    </w:p>
    <w:p>
      <w:pPr>
        <w:pStyle w:val="Heading2"/>
      </w:pPr>
      <w:r>
        <w:rPr>
          <w:rFonts w:ascii="Arial" w:hAnsi="Arial"/>
          <w:b/>
          <w:color w:val="1F2937"/>
          <w:sz w:val="28"/>
        </w:rPr>
        <w:t>Weight Thresholds and Commercial Scale</w:t>
      </w:r>
    </w:p>
    <w:p>
      <w:r>
        <w:rPr>
          <w:rFonts w:ascii="Arial" w:hAnsi="Arial"/>
          <w:sz w:val="22"/>
        </w:rPr>
        <w:t>Industry standards divide shipments primarily by weight. Any consignment weighing under 150 pounds (about 68 kg) falls under cargo transportation. Shipments exceeding 150 pounds move into freight shipping territory.</w:t>
      </w:r>
    </w:p>
    <w:p>
      <w:r>
        <w:rPr>
          <w:rFonts w:ascii="Arial" w:hAnsi="Arial"/>
          <w:sz w:val="22"/>
        </w:rPr>
        <w:t>Cargo delivery handles small and medium-sized commercial goods ranging from 20 or 30 kg up to 3 tons, which represents the carrying capacity of the smallest shipping container. A standard cargo order check usually covers 2 to 3 compact items totaling 50 to 100 kg.</w:t>
      </w:r>
    </w:p>
    <w:p>
      <w:r>
        <w:rPr>
          <w:rFonts w:ascii="Arial" w:hAnsi="Arial"/>
          <w:sz w:val="22"/>
        </w:rPr>
        <w:t>Common product categories suited for cargo transport include:</w:t>
      </w:r>
    </w:p>
    <w:p>
      <w:pPr>
        <w:pStyle w:val="ListBullet"/>
      </w:pPr>
      <w:r>
        <w:rPr>
          <w:rFonts w:ascii="Arial" w:hAnsi="Arial"/>
          <w:sz w:val="22"/>
        </w:rPr>
        <w:t>Electronic components and appliances like phones, smartwatches, printers, and televisions</w:t>
      </w:r>
    </w:p>
    <w:p>
      <w:pPr>
        <w:pStyle w:val="ListBullet"/>
      </w:pPr>
      <w:r>
        <w:rPr>
          <w:rFonts w:ascii="Arial" w:hAnsi="Arial"/>
          <w:sz w:val="22"/>
        </w:rPr>
        <w:t>Automotive parts and accessories</w:t>
      </w:r>
    </w:p>
    <w:p>
      <w:pPr>
        <w:pStyle w:val="ListBullet"/>
      </w:pPr>
      <w:r>
        <w:rPr>
          <w:rFonts w:ascii="Arial" w:hAnsi="Arial"/>
          <w:sz w:val="22"/>
        </w:rPr>
        <w:t>Apparel, footwear, and leather products such as bags and backpacks</w:t>
      </w:r>
    </w:p>
    <w:p>
      <w:pPr>
        <w:pStyle w:val="ListBullet"/>
      </w:pPr>
      <w:r>
        <w:rPr>
          <w:rFonts w:ascii="Arial" w:hAnsi="Arial"/>
          <w:sz w:val="22"/>
        </w:rPr>
        <w:t>Children's products including toys and pacifiers</w:t>
      </w:r>
    </w:p>
    <w:p>
      <w:pPr>
        <w:pStyle w:val="ListBullet"/>
      </w:pPr>
      <w:r>
        <w:rPr>
          <w:rFonts w:ascii="Arial" w:hAnsi="Arial"/>
          <w:sz w:val="22"/>
        </w:rPr>
        <w:t>Jewelry and high-value small items</w:t>
      </w:r>
    </w:p>
    <w:p>
      <w:pPr>
        <w:pStyle w:val="Heading2"/>
      </w:pPr>
      <w:r>
        <w:rPr>
          <w:rFonts w:ascii="Arial" w:hAnsi="Arial"/>
          <w:b/>
          <w:color w:val="1F2937"/>
          <w:sz w:val="28"/>
        </w:rPr>
        <w:t>Cost Savings and Speed Benefits</w:t>
      </w:r>
    </w:p>
    <w:p>
      <w:r>
        <w:rPr>
          <w:rFonts w:ascii="Arial" w:hAnsi="Arial"/>
          <w:sz w:val="22"/>
        </w:rPr>
        <w:t>Selecting LCL cargo delivery allows multiple merchants to share space inside a single container, funding only the exact volume occupied by their goods. This format routinely cuts shipping costs by 20% to 30% compared to standard freight rates.</w:t>
      </w:r>
    </w:p>
    <w:p>
      <w:r>
        <w:rPr>
          <w:rFonts w:ascii="Arial" w:hAnsi="Arial"/>
          <w:sz w:val="22"/>
        </w:rPr>
        <w:t>Air cargo offers distinct speed advantages over traditional heavy freight. Cargo operators book lower-deck space on scheduled passenger flights, delivering international orders within a few days.</w:t>
      </w:r>
    </w:p>
    <w:p>
      <w:pPr>
        <w:pStyle w:val="Heading2"/>
      </w:pPr>
      <w:r>
        <w:rPr>
          <w:rFonts w:ascii="Arial" w:hAnsi="Arial"/>
          <w:b/>
          <w:color w:val="1F2937"/>
          <w:sz w:val="28"/>
        </w:rPr>
        <w:t>Insurance, Packaging, and Operational Rules</w:t>
      </w:r>
    </w:p>
    <w:p>
      <w:r>
        <w:rPr>
          <w:rFonts w:ascii="Arial" w:hAnsi="Arial"/>
          <w:sz w:val="22"/>
        </w:rPr>
        <w:t>Cargo shipping operates under distinct risk management and packaging requirements:</w:t>
      </w:r>
    </w:p>
    <w:p>
      <w:pPr>
        <w:pStyle w:val="ListBullet"/>
      </w:pPr>
      <w:r>
        <w:rPr>
          <w:rFonts w:ascii="Arial" w:hAnsi="Arial"/>
          <w:b/>
          <w:sz w:val="22"/>
        </w:rPr>
        <w:t>Compulsory Insurance:</w:t>
      </w:r>
      <w:r>
        <w:rPr>
          <w:rFonts w:ascii="Arial" w:hAnsi="Arial"/>
          <w:sz w:val="22"/>
        </w:rPr>
        <w:t xml:space="preserve"> Suppliers do not take responsibility for transport safety or quality loss during transit. Sellers and shippers must arrange mandatory insurance policies and obtain origin photo reports before shipping.</w:t>
      </w:r>
    </w:p>
    <w:p>
      <w:pPr>
        <w:pStyle w:val="ListBullet"/>
      </w:pPr>
      <w:r>
        <w:rPr>
          <w:rFonts w:ascii="Arial" w:hAnsi="Arial"/>
          <w:b/>
          <w:sz w:val="22"/>
        </w:rPr>
        <w:t>Packaging Standards:</w:t>
      </w:r>
      <w:r>
        <w:rPr>
          <w:rFonts w:ascii="Arial" w:hAnsi="Arial"/>
          <w:sz w:val="22"/>
        </w:rPr>
        <w:t xml:space="preserve"> Items must be compact, non-fragile, and sealed inside original packaging. Cargo operators reject shipments that fail to meet strict packaging criteria.</w:t>
      </w:r>
    </w:p>
    <w:p>
      <w:pPr>
        <w:pStyle w:val="ListBullet"/>
      </w:pPr>
      <w:r>
        <w:rPr>
          <w:rFonts w:ascii="Arial" w:hAnsi="Arial"/>
          <w:b/>
          <w:sz w:val="22"/>
        </w:rPr>
        <w:t>Bill of Lading Tracking:</w:t>
      </w:r>
      <w:r>
        <w:rPr>
          <w:rFonts w:ascii="Arial" w:hAnsi="Arial"/>
          <w:sz w:val="22"/>
        </w:rPr>
        <w:t xml:space="preserve"> Every shipment receives an air waybill or bill of lading number, giving you direct visibility across air, ocean, road, or rail transit.</w:t>
      </w:r>
    </w:p>
    <w:p>
      <w:pPr>
        <w:pStyle w:val="Heading2"/>
      </w:pPr>
      <w:r>
        <w:rPr>
          <w:rFonts w:ascii="Arial" w:hAnsi="Arial"/>
          <w:b/>
          <w:color w:val="1F2937"/>
          <w:sz w:val="28"/>
        </w:rPr>
        <w:t>Step-by-Step Cargo Delivery Workflow</w:t>
      </w:r>
    </w:p>
    <w:p>
      <w:r>
        <w:rPr>
          <w:rFonts w:ascii="Arial" w:hAnsi="Arial"/>
          <w:sz w:val="22"/>
        </w:rPr>
        <w:t>Moving cargo smoothly from factory floor to destination requires a structured six-step workflow:</w:t>
      </w:r>
    </w:p>
    <w:p>
      <w:pPr>
        <w:pStyle w:val="ListNumber"/>
      </w:pPr>
      <w:r>
        <w:rPr>
          <w:rFonts w:ascii="Arial" w:hAnsi="Arial"/>
          <w:b/>
          <w:sz w:val="22"/>
        </w:rPr>
        <w:t>Selecting a Reliable Supplier:</w:t>
      </w:r>
      <w:r>
        <w:rPr>
          <w:rFonts w:ascii="Arial" w:hAnsi="Arial"/>
          <w:sz w:val="22"/>
        </w:rPr>
        <w:t xml:space="preserve"> Evaluate manufacturers based on clear guarantees and verified performance. Shippers build freight forwarder reliability through network communities like the Digital Freight Alliance (DFA). DFA members partner with verified forwarders, ensuring trusted vendor choices on SeaRates.</w:t>
      </w:r>
    </w:p>
    <w:p>
      <w:pPr>
        <w:pStyle w:val="ListNumber"/>
      </w:pPr>
      <w:r>
        <w:rPr>
          <w:rFonts w:ascii="Arial" w:hAnsi="Arial"/>
          <w:b/>
          <w:sz w:val="22"/>
        </w:rPr>
        <w:t>Booking and Payment:</w:t>
      </w:r>
      <w:r>
        <w:rPr>
          <w:rFonts w:ascii="Arial" w:hAnsi="Arial"/>
          <w:sz w:val="22"/>
        </w:rPr>
        <w:t xml:space="preserve"> Submit exact shipment specs including item counts, dimensions, colors, packaging details, and transport documentation before submitting an advance payment deposit.</w:t>
      </w:r>
    </w:p>
    <w:p>
      <w:pPr>
        <w:pStyle w:val="ListNumber"/>
      </w:pPr>
      <w:r>
        <w:rPr>
          <w:rFonts w:ascii="Arial" w:hAnsi="Arial"/>
          <w:b/>
          <w:sz w:val="22"/>
        </w:rPr>
        <w:t>Warehouse Operations:</w:t>
      </w:r>
      <w:r>
        <w:rPr>
          <w:rFonts w:ascii="Arial" w:hAnsi="Arial"/>
          <w:sz w:val="22"/>
        </w:rPr>
        <w:t xml:space="preserve"> Origin warehouse operators inspect physical goods against your documentation, verify packaging, weigh the cargo, and issue a bill of lading or air waybill alongside your tracking number.</w:t>
      </w:r>
    </w:p>
    <w:p>
      <w:pPr>
        <w:pStyle w:val="ListNumber"/>
      </w:pPr>
      <w:r>
        <w:rPr>
          <w:rFonts w:ascii="Arial" w:hAnsi="Arial"/>
          <w:b/>
          <w:sz w:val="22"/>
        </w:rPr>
        <w:t>Transit:</w:t>
      </w:r>
      <w:r>
        <w:rPr>
          <w:rFonts w:ascii="Arial" w:hAnsi="Arial"/>
          <w:sz w:val="22"/>
        </w:rPr>
        <w:t xml:space="preserve"> Goods travel along the designated route to the destination city, where local forwarder representatives collect the batch and transfer it to a regional warehouse.</w:t>
      </w:r>
    </w:p>
    <w:p>
      <w:pPr>
        <w:pStyle w:val="ListNumber"/>
      </w:pPr>
      <w:r>
        <w:rPr>
          <w:rFonts w:ascii="Arial" w:hAnsi="Arial"/>
          <w:b/>
          <w:sz w:val="22"/>
        </w:rPr>
        <w:t>Customs Clearance:</w:t>
      </w:r>
      <w:r>
        <w:rPr>
          <w:rFonts w:ascii="Arial" w:hAnsi="Arial"/>
          <w:sz w:val="22"/>
        </w:rPr>
        <w:t xml:space="preserve"> Officials audit transport and customs documentation for accuracy. Importers can manage clearance paperwork directly at departure points or let cargo operator agents handle the process.</w:t>
      </w:r>
    </w:p>
    <w:p>
      <w:pPr>
        <w:pStyle w:val="ListNumber"/>
      </w:pPr>
      <w:r>
        <w:rPr>
          <w:rFonts w:ascii="Arial" w:hAnsi="Arial"/>
          <w:b/>
          <w:sz w:val="22"/>
        </w:rPr>
        <w:t>Final Acceptance:</w:t>
      </w:r>
      <w:r>
        <w:rPr>
          <w:rFonts w:ascii="Arial" w:hAnsi="Arial"/>
          <w:sz w:val="22"/>
        </w:rPr>
        <w:t xml:space="preserve"> Upon arrival notification, the recipient settles remaining delivery fees, verifies item condition, and signs the final cargo acceptance certificate.</w:t>
      </w:r>
    </w:p>
    <w:p>
      <w:pPr>
        <w:pStyle w:val="Heading2"/>
      </w:pPr>
      <w:r>
        <w:rPr>
          <w:rFonts w:ascii="Arial" w:hAnsi="Arial"/>
          <w:b/>
          <w:color w:val="1F2937"/>
          <w:sz w:val="28"/>
        </w:rPr>
        <w:t>Terminology Nuances: Cargo vs. Freight</w:t>
      </w:r>
    </w:p>
    <w:p>
      <w:r>
        <w:rPr>
          <w:rFonts w:ascii="Arial" w:hAnsi="Arial"/>
          <w:sz w:val="22"/>
        </w:rPr>
        <w:t>Understanding industry usage clarifies administrative and financial discussions:</w:t>
      </w:r>
    </w:p>
    <w:p>
      <w:pPr>
        <w:pStyle w:val="ListBullet"/>
      </w:pPr>
      <w:r>
        <w:rPr>
          <w:rFonts w:ascii="Arial" w:hAnsi="Arial"/>
          <w:b/>
          <w:sz w:val="22"/>
        </w:rPr>
        <w:t>Cargo:</w:t>
      </w:r>
      <w:r>
        <w:rPr>
          <w:rFonts w:ascii="Arial" w:hAnsi="Arial"/>
          <w:sz w:val="22"/>
        </w:rPr>
        <w:t xml:space="preserve"> Refers specifically to physical goods being transported across modes. The term also designates companies providing freight forwarding and customs clearing services. It does not refer to freight payment tariffs.</w:t>
      </w:r>
    </w:p>
    <w:p>
      <w:pPr>
        <w:pStyle w:val="ListBullet"/>
      </w:pPr>
      <w:r>
        <w:rPr>
          <w:rFonts w:ascii="Arial" w:hAnsi="Arial"/>
          <w:b/>
          <w:sz w:val="22"/>
        </w:rPr>
        <w:t>Freight:</w:t>
      </w:r>
      <w:r>
        <w:rPr>
          <w:rFonts w:ascii="Arial" w:hAnsi="Arial"/>
          <w:sz w:val="22"/>
        </w:rPr>
        <w:t xml:space="preserve"> Describes the physical goods, the broader transport procedure, and the specific billing rate or tariff charged for carriage.</w:t>
      </w:r>
    </w:p>
    <w:p>
      <w:pPr>
        <w:pStyle w:val="Heading2"/>
      </w:pPr>
      <w:r>
        <w:rPr>
          <w:rFonts w:ascii="Arial" w:hAnsi="Arial"/>
          <w:b/>
          <w:color w:val="1F2937"/>
          <w:sz w:val="28"/>
        </w:rPr>
        <w:t>SeaRates Digital Tools for Cargo Logistics</w:t>
      </w:r>
    </w:p>
    <w:p>
      <w:r>
        <w:rPr>
          <w:rFonts w:ascii="Arial" w:hAnsi="Arial"/>
          <w:sz w:val="22"/>
        </w:rPr>
        <w:t>SeaRates provides specialized web tools designed to streamline e-commerce fulfillment and fleet management:</w:t>
      </w:r>
    </w:p>
    <w:p>
      <w:pPr>
        <w:pStyle w:val="ListBullet"/>
      </w:pPr>
      <w:r>
        <w:rPr>
          <w:rFonts w:ascii="Arial" w:hAnsi="Arial"/>
          <w:b/>
          <w:sz w:val="22"/>
        </w:rPr>
        <w:t>SeaRates Logistics Explorer:</w:t>
      </w:r>
      <w:r>
        <w:rPr>
          <w:rFonts w:ascii="Arial" w:hAnsi="Arial"/>
          <w:sz w:val="22"/>
        </w:rPr>
        <w:t xml:space="preserve"> Calculate instant rates, compare transport routes, and optimize shipping budgets using the Logistics Explorer freight calculator.</w:t>
      </w:r>
    </w:p>
    <w:p>
      <w:pPr>
        <w:pStyle w:val="ListBullet"/>
      </w:pPr>
      <w:r>
        <w:rPr>
          <w:rFonts w:ascii="Arial" w:hAnsi="Arial"/>
          <w:b/>
          <w:sz w:val="22"/>
        </w:rPr>
        <w:t>Logistics Map:</w:t>
      </w:r>
      <w:r>
        <w:rPr>
          <w:rFonts w:ascii="Arial" w:hAnsi="Arial"/>
          <w:sz w:val="22"/>
        </w:rPr>
        <w:t xml:space="preserve"> Discover competitive cargo rates under the 'Cargoes' tab, or manage vehicle fleets and automate TMS operations through the 'Transport' panel.</w:t>
      </w:r>
    </w:p>
    <w:p>
      <w:pPr>
        <w:pStyle w:val="ListBullet"/>
      </w:pPr>
      <w:r>
        <w:rPr>
          <w:rFonts w:ascii="Arial" w:hAnsi="Arial"/>
          <w:b/>
          <w:sz w:val="22"/>
        </w:rPr>
        <w:t>Tracking System API:</w:t>
      </w:r>
      <w:r>
        <w:rPr>
          <w:rFonts w:ascii="Arial" w:hAnsi="Arial"/>
          <w:sz w:val="22"/>
        </w:rPr>
        <w:t xml:space="preserve"> Integrate 24/7 real-time sea, road, rail, and Air Cargo Tracking directly into your internal CRM, TMS, or ERP software.</w:t>
      </w:r>
    </w:p>
    <w:p>
      <w:pPr>
        <w:pStyle w:val="ListBullet"/>
      </w:pPr>
      <w:r>
        <w:rPr>
          <w:rFonts w:ascii="Arial" w:hAnsi="Arial"/>
          <w:b/>
          <w:sz w:val="22"/>
        </w:rPr>
        <w:t>Consultations and Custom IT Quotes:</w:t>
      </w:r>
      <w:r>
        <w:rPr>
          <w:rFonts w:ascii="Arial" w:hAnsi="Arial"/>
          <w:sz w:val="22"/>
        </w:rPr>
        <w:t xml:space="preserve"> Request custom IT integrations or contact the SeaRates team at sales@searates.com for expert supply chain consultations.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