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China Imposes 34% Tariff in Retaliatory Trade War</w:t>
      </w:r>
    </w:p>
    <w:p>
      <w:r>
        <w:rPr>
          <w:i/>
          <w:color w:val="646464"/>
          <w:sz w:val="18"/>
        </w:rPr>
        <w:t>Meta Title: China 34% Tariff: Trade Escalation &amp; Ocean Freight</w:t>
        <w:br/>
      </w:r>
      <w:r>
        <w:rPr>
          <w:i/>
          <w:color w:val="646464"/>
          <w:sz w:val="18"/>
        </w:rPr>
        <w:t>Meta Description: China levels 34% retaliatory tariffs on US goods. Learn how retaliatory tariffs ocean freight and China+1 supply chain rerouting impact your trade.</w:t>
        <w:br/>
      </w:r>
    </w:p>
    <w:p/>
    <w:p>
      <w:r>
        <w:t>On April 10, 2025, China introduced a 34% tariff on all goods imported from the United States without exception. This blanket move mirrors earlier American duties on Chinese products and stacks on top of existing 10-15% levies targeting agricultural, machinery, and energy equipment shipments. Cargoes already at sea receive limited relief: shipments leaving US ports before April 10 and entering China prior to May 13, 2025, remain exempt. With bilateral commercial flows exceeding $500 billion, this U.S.-China tariff escalation 2025 directly threatens active maritime corridors. Trump has also signaled plans to raise US tariffs on Chinese goods up to 104% on April 9 in response.</w:t>
      </w:r>
    </w:p>
    <w:p>
      <w:pPr>
        <w:pStyle w:val="Heading2"/>
      </w:pPr>
      <w:r>
        <w:t>Regulatory Measures and Targeted Commodity Bans</w:t>
      </w:r>
    </w:p>
    <w:p>
      <w:r>
        <w:t>Beijing accompanied the broad tariff increase with specific legal and commercial countermeasures, filing a formal complaint at the World Trade Organization that labeled American duties as unilateral intimidation tactics. Official blacklists expanded as 11 American entities, including drone makers Skydio Inc., Illumina Inc., Huntington Ingalls, and Teledyne Brown Engineering, joined China's list of unreliable organizations. Separate export restrictions targeted 16 US firms to block access to Chinese dual-use goods. Fifteen of those companies operate across defense and aerospace sectors, while the non-profit group Coalition For A Prosperous America was cited for previously encouraging the Trump administration to decouple the US economy from China.</w:t>
      </w:r>
    </w:p>
    <w:p>
      <w:r>
        <w:t>Export limits now apply to seven rare earth minerals bound for the United States, including samarium, gadolinium, and terbium. Additional restrictions affect nearly 30 American organizations concentrated in defense industries. Agricultural trade felt an immediate shock when imports of U.S. sorghum from C&amp;D (USA) INC were halted alongside poultry and bone meal shipments from three U.S. suppliers. These actions hit core trade categories: U.S. customs records from 2024 show Chinese purchases reached $13.4 billion in soybeans, oilseeds, and grains, $14.7 billion in miscellaneous fuels, and $15.3 billion in electrical equipment.</w:t>
      </w:r>
    </w:p>
    <w:p>
      <w:pPr>
        <w:pStyle w:val="Heading2"/>
      </w:pPr>
      <w:r>
        <w:t>Trans-Pacific Freight Disruptions and Rate Shifts</w:t>
      </w:r>
    </w:p>
    <w:p>
      <w:r>
        <w:t>Despite new commercial hurdles, Chinese authorities maintain a 5% economic growth target for 2025 by driving domestic demand while preparing for longer policy disputes. Vulnerabilities span key sectors including agriculture, energy, defense, semiconductors, medical imaging, and specialized transpacific logistics. Ocean freight networks are already feeling the strain. Since early this year, SCFI freight rates dropped by over 44%, and Trans-Pacific rate volatility SCFI will likely worsen as container lines cancel sailings and reduce capacity on Asia to North America routes.</w:t>
      </w:r>
    </w:p>
    <w:p>
      <w:r>
        <w:t>Nearly 40% of containerized US imports originate in China, making volume reductions and blank sailings especially heavy across agricultural and aerospace supply chains. Supply chain bottlenecks are surfacing in electronics, rare earth elements, and agricultural commodities like soybeans. Logistics service providers face immediate compliance hurdles, including HS code reclassification, revised duty schedules, cargo status updates, and added customs documentation. Port congestion is also building in regional hubs such as Vietnam and Thailand as manufacturers attempt rapid operational shifts while local Asian shipping demand rises.</w:t>
      </w:r>
    </w:p>
    <w:p>
      <w:pPr>
        <w:pStyle w:val="Heading2"/>
      </w:pPr>
      <w:r>
        <w:t>Mid-Term Network Realignment Across Regional Corridors</w:t>
      </w:r>
    </w:p>
    <w:p>
      <w:r>
        <w:t>Shippers and ocean carriers are seeking duty-free options through Southeast Asia and Mexico, moving production, assembly, and routing structures away from direct US-China lanes. Logistics providers are reallocating fleet capacity toward intra-Asian networks, adjusting contract pricing while managing crowded marine terminals in Malaysia, Thailand, and Vietnam. Transpacific ocean operations are also expanding into trade corridors serving Europe, South America, and Africa. Small and medium enterprises bear higher margin costs during this transition, adjusting to longer transit schedules, heavier operational workloads, and smaller customer bases.</w:t>
      </w:r>
    </w:p>
    <w:p>
      <w:pPr>
        <w:pStyle w:val="Heading2"/>
      </w:pPr>
      <w:r>
        <w:t>Supply Chain Adaptations and Digital Tools</w:t>
      </w:r>
    </w:p>
    <w:p>
      <w:r>
        <w:t>Long-term stability depends on how flexibly freight forwarders adjust their operational networks. Production capacity and transport services are migrating toward alternative manufacturing centers in India, Indonesia, and Mexico, driving demand for local partners and last-mile logistics capability. Many organizations are adopting China+1 supply chain rerouting or China+2 trade structures to spread sourcing and transport options across multiple regions as global trade splits into distinct North American, Asia Pacific, and European blocks.</w:t>
      </w:r>
    </w:p>
    <w:p>
      <w:r>
        <w:t>Managing retaliatory tariffs ocean freight demands real-time visibility across fluctuating rates and carrier schedules. Digital platforms help forwarders handle route planning and tariff calculations during market shifts. Using the SeaRates Logistics Explorer digital rates tool, logistics operators can check live freight rates, compare ocean carriers, schedule bookings, and plan shipments. The platform offers integration through API or web white-label options, and inquiries can be directed to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