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Calibri" w:hAnsi="Calibri"/>
          <w:b/>
          <w:color w:val="111827"/>
          <w:sz w:val="44"/>
        </w:rPr>
        <w:t>China Port Fees Target US Ships: Global Freight Impact</w:t>
      </w:r>
    </w:p>
    <w:p>
      <w:r>
        <w:rPr>
          <w:rFonts w:ascii="Calibri" w:hAnsi="Calibri"/>
          <w:i/>
          <w:color w:val="6B7280"/>
          <w:sz w:val="18"/>
        </w:rPr>
        <w:t>Meta Title: China Port Fees Target US Ships: Global Freight Impact</w:t>
        <w:br/>
        <w:t>Meta Description: New Chinese maritime port fees hit US-linked vessels. Learn how operators use reflagging and tariff mitigation strategies to protect transpacific routes.</w:t>
        <w:br/>
      </w:r>
    </w:p>
    <w:p/>
    <w:p>
      <w:pPr>
        <w:spacing w:line="276" w:lineRule="auto" w:after="120"/>
      </w:pPr>
      <w:r>
        <w:rPr>
          <w:rFonts w:ascii="Calibri" w:hAnsi="Calibri"/>
          <w:color w:val="111827"/>
          <w:sz w:val="22"/>
        </w:rPr>
        <w:t>China started collecting new port fees on US-connected vessels on October 14, 2025, adding friction across transpacific trade lanes.</w:t>
      </w:r>
    </w:p>
    <w:p>
      <w:pPr>
        <w:spacing w:line="276" w:lineRule="auto" w:after="120"/>
      </w:pPr>
      <w:r>
        <w:rPr>
          <w:rFonts w:ascii="Calibri" w:hAnsi="Calibri"/>
          <w:color w:val="111827"/>
          <w:sz w:val="22"/>
        </w:rPr>
        <w:t>The levies hit ships flying the US flag, vessels built or owned in the United States, and operators with American equity. Chinese maritime authorities set a wide net, applying extra charges to any shipping company with US voting rights or equity up to 25 percent, or with US citizens on its board of directors. Because international ocean shipping connects closely with US capital, these regulations touch a substantial section of active global tonnage.</w:t>
      </w:r>
    </w:p>
    <w:p>
      <w:pPr>
        <w:pStyle w:val="Heading2"/>
      </w:pPr>
      <w:r>
        <w:rPr>
          <w:rFonts w:ascii="Calibri" w:hAnsi="Calibri"/>
          <w:b/>
          <w:color w:val="1F2937"/>
          <w:sz w:val="32"/>
        </w:rPr>
        <w:t>Who Bears the Financial Impact?</w:t>
      </w:r>
    </w:p>
    <w:p>
      <w:pPr>
        <w:pStyle w:val="Heading3"/>
      </w:pPr>
      <w:r>
        <w:rPr>
          <w:rFonts w:ascii="Calibri" w:hAnsi="Calibri"/>
          <w:b/>
          <w:color w:val="374151"/>
          <w:sz w:val="26"/>
        </w:rPr>
        <w:t>Container Carriers</w:t>
      </w:r>
    </w:p>
    <w:p>
      <w:pPr>
        <w:spacing w:line="276" w:lineRule="auto" w:after="120"/>
      </w:pPr>
      <w:r>
        <w:rPr>
          <w:rFonts w:ascii="Calibri" w:hAnsi="Calibri"/>
          <w:color w:val="111827"/>
          <w:sz w:val="22"/>
        </w:rPr>
        <w:t>Israel-based, New York-registered carrier ZIM faces immediate exposure. Cost spikes in American ports hit the carrier simultaneously, squeezing margins along the busy transpacific freight corridor. To protect profitability, ZIM must evaluate fleet placement and shift vessels with minimal US capital ties onto these high-tariff lanes.</w:t>
      </w:r>
    </w:p>
    <w:p>
      <w:pPr>
        <w:pStyle w:val="Heading3"/>
      </w:pPr>
      <w:r>
        <w:rPr>
          <w:rFonts w:ascii="Calibri" w:hAnsi="Calibri"/>
          <w:b/>
          <w:color w:val="374151"/>
          <w:sz w:val="26"/>
        </w:rPr>
        <w:t>Bulk Carriers and Tankers</w:t>
      </w:r>
    </w:p>
    <w:p>
      <w:pPr>
        <w:spacing w:line="276" w:lineRule="auto" w:after="120"/>
      </w:pPr>
      <w:r>
        <w:rPr>
          <w:rFonts w:ascii="Calibri" w:hAnsi="Calibri"/>
          <w:color w:val="111827"/>
          <w:sz w:val="22"/>
        </w:rPr>
        <w:t>Dry bulk and crude sectors are feeling pressure, particularly Capesize bulkers and Very Large Crude Carriers (VLCCs). Roughly one-third of the global fleet was constructed in Chinese shipyards. Under the new rules, Chinese-built vessels remain exempt from these specific charges as long as they do not call at Chinese ports.</w:t>
      </w:r>
    </w:p>
    <w:p>
      <w:pPr>
        <w:spacing w:line="276" w:lineRule="auto" w:after="120"/>
      </w:pPr>
      <w:r>
        <w:rPr>
          <w:rFonts w:ascii="Calibri" w:hAnsi="Calibri"/>
          <w:color w:val="111827"/>
          <w:sz w:val="22"/>
        </w:rPr>
        <w:t>Shipowners are reconsidering fleet deployment, shipbuilding contracts, and vessel flag realignment. Reflagging existing hulls or placing upcoming newbuilding orders in non-US jurisdictions offer direct tariff mitigation strategies for operators looking to trim port overhead.</w:t>
      </w:r>
    </w:p>
    <w:p>
      <w:pPr>
        <w:pStyle w:val="Heading2"/>
      </w:pPr>
      <w:r>
        <w:rPr>
          <w:rFonts w:ascii="Calibri" w:hAnsi="Calibri"/>
          <w:b/>
          <w:color w:val="1F2937"/>
          <w:sz w:val="32"/>
        </w:rPr>
        <w:t>The Maritime Taxation Spiral</w:t>
      </w:r>
    </w:p>
    <w:p>
      <w:pPr>
        <w:spacing w:line="276" w:lineRule="auto" w:after="120"/>
      </w:pPr>
      <w:r>
        <w:rPr>
          <w:rFonts w:ascii="Calibri" w:hAnsi="Calibri"/>
          <w:color w:val="111827"/>
          <w:sz w:val="22"/>
        </w:rPr>
        <w:t>These reciprocal maritime port fees signal a broader taxation spiral across international ocean commerce. When major economic powers impose targeted port levies, trading partners often respond with mirror tariffs. Secondary nations may adopt similar restrictions in response.</w:t>
      </w:r>
    </w:p>
    <w:p>
      <w:pPr>
        <w:spacing w:line="276" w:lineRule="auto" w:after="120"/>
      </w:pPr>
      <w:r>
        <w:rPr>
          <w:rFonts w:ascii="Calibri" w:hAnsi="Calibri"/>
          <w:color w:val="111827"/>
          <w:sz w:val="22"/>
        </w:rPr>
        <w:t>This patchwork of national fees fragments traditional ocean routes, causes port delays, and drives up operating costs. Importers and exporters absorb these fee hikes, which eventually trickles down to consumer goods and fuels market inflation.</w:t>
      </w:r>
    </w:p>
    <w:p>
      <w:pPr>
        <w:pStyle w:val="Heading2"/>
      </w:pPr>
      <w:r>
        <w:rPr>
          <w:rFonts w:ascii="Calibri" w:hAnsi="Calibri"/>
          <w:b/>
          <w:color w:val="1F2937"/>
          <w:sz w:val="32"/>
        </w:rPr>
        <w:t>Operational Responses for Forwarders and Owners</w:t>
      </w:r>
    </w:p>
    <w:p>
      <w:pPr>
        <w:spacing w:line="276" w:lineRule="auto" w:after="120"/>
      </w:pPr>
      <w:r>
        <w:rPr>
          <w:rFonts w:ascii="Calibri" w:hAnsi="Calibri"/>
          <w:color w:val="111827"/>
          <w:sz w:val="22"/>
        </w:rPr>
        <w:t>Shipping companies cannot eliminate geopolitical volatility, but adapting operational playbooks helps manage exposure. Shippers and forwarders face the task of recalculating freight budgets and re-routing cargo around high-cost hubs.</w:t>
      </w:r>
    </w:p>
    <w:p>
      <w:pPr>
        <w:spacing w:line="276" w:lineRule="auto" w:after="120"/>
      </w:pPr>
      <w:r>
        <w:rPr>
          <w:rFonts w:ascii="Calibri" w:hAnsi="Calibri"/>
          <w:color w:val="111827"/>
          <w:sz w:val="22"/>
        </w:rPr>
        <w:t>Smart supply chain risk management relies on digital freight tools. Platforms like SeaRates Logistics Explorer compare live market quotes across verified ocean carriers, allowing forwarders to secure stable transport pricing. Operations teams can map alternative itineraries using Route Planner and monitor cargo movement in real time with Container Tracking.</w:t>
      </w:r>
    </w:p>
    <w:p>
      <w:pPr>
        <w:spacing w:line="276" w:lineRule="auto" w:after="120"/>
      </w:pPr>
      <w:r>
        <w:rPr>
          <w:rFonts w:ascii="Calibri" w:hAnsi="Calibri"/>
          <w:color w:val="111827"/>
          <w:sz w:val="22"/>
        </w:rPr>
        <w:t>Shipowners are also deploying Transport Management Systems to balance fleet composition. Beyond software, owners are chartering non-US vessels, pursuing reflagging, and securing comprehensive marine cargo insurance to protect both physical assets and freight value.</w:t>
      </w:r>
    </w:p>
    <w:p>
      <w:pPr>
        <w:pStyle w:val="Heading2"/>
      </w:pPr>
      <w:r>
        <w:rPr>
          <w:rFonts w:ascii="Calibri" w:hAnsi="Calibri"/>
          <w:b/>
          <w:color w:val="1F2937"/>
          <w:sz w:val="32"/>
        </w:rPr>
        <w:t>Regulatory Layers and Future Outlook</w:t>
      </w:r>
    </w:p>
    <w:p>
      <w:pPr>
        <w:spacing w:line="276" w:lineRule="auto" w:after="120"/>
      </w:pPr>
      <w:r>
        <w:rPr>
          <w:rFonts w:ascii="Calibri" w:hAnsi="Calibri"/>
          <w:color w:val="111827"/>
          <w:sz w:val="22"/>
        </w:rPr>
        <w:t>Maritime logistics is increasingly tied to political policy. Beyond bilateral fee disputes, the International Maritime Organization (IMO) is preparing to vote on its Net-Zero Framework, which will introduce tighter environmental compliance requirements. Managing this overlapping web of taxes and climate mandates requires constant operational adjustments.</w:t>
      </w:r>
    </w:p>
    <w:p>
      <w:pPr>
        <w:spacing w:line="276" w:lineRule="auto" w:after="120"/>
      </w:pPr>
      <w:r>
        <w:rPr>
          <w:rFonts w:ascii="Calibri" w:hAnsi="Calibri"/>
          <w:color w:val="111827"/>
          <w:sz w:val="22"/>
        </w:rPr>
        <w:t>For tailored guidance on managing logistics risks and updating your shipping routes, reach out to 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