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Container Shipping Rates in 2026: $2,200 or $9,500?</w:t>
      </w:r>
    </w:p>
    <w:p>
      <w:r>
        <w:rPr>
          <w:rFonts w:ascii="Calibri" w:hAnsi="Calibri"/>
          <w:i/>
          <w:color w:val="555555"/>
          <w:sz w:val="18"/>
        </w:rPr>
        <w:t>Meta Title: 2026 Container Costs Guide: $2,200 to $9,500 Outlook</w:t>
        <w:br/>
      </w:r>
      <w:r>
        <w:rPr>
          <w:rFonts w:ascii="Calibri" w:hAnsi="Calibri"/>
          <w:i/>
          <w:color w:val="555555"/>
          <w:sz w:val="18"/>
        </w:rPr>
        <w:t>Meta Description: Ocean freight rate volatility in 2026 could swing 40ft container costs from $2,200 to $9,500. Discover the 5 key factors shaping your supply chain budget.</w:t>
      </w:r>
    </w:p>
    <w:p/>
    <w:p>
      <w:pPr>
        <w:spacing w:after="120" w:line="276" w:lineRule="auto"/>
      </w:pPr>
      <w:r>
        <w:rPr>
          <w:rFonts w:ascii="Calibri" w:hAnsi="Calibri"/>
          <w:sz w:val="22"/>
        </w:rPr>
        <w:t>Five years of continuous supply chain disruption may give way to smoother global trade in 2026, yet two quiet triggers could rewrite shipping budgets overnight. A sudden reopening of the Red Sea and Suez Canal alongside sudden inventory stockpiling in the United States stand out as primary forces behind potential market shifts.</w:t>
      </w:r>
    </w:p>
    <w:p>
      <w:pPr>
        <w:spacing w:after="120" w:line="276" w:lineRule="auto"/>
      </w:pPr>
      <w:r>
        <w:rPr>
          <w:rFonts w:ascii="Calibri" w:hAnsi="Calibri"/>
          <w:sz w:val="22"/>
        </w:rPr>
        <w:t>Baseline market projections point to an average ocean freight rate drop of 30% to 35% in 2026 compared to 2025 levels. For a standard 40-foot high cube (40'HC) container moving from Asia to the US West Coast, baseline figures point toward $2,200 to $3,200. Market data from November 2025 indicates that unexpected supply shocks could rapidly drive those same rates above $9,500 within weeks.</w:t>
      </w:r>
    </w:p>
    <w:p>
      <w:pPr>
        <w:pStyle w:val="Heading2"/>
      </w:pPr>
      <w:r>
        <w:t>Fleet Expansion and Scrapping Dynamics</w:t>
      </w:r>
    </w:p>
    <w:p>
      <w:pPr>
        <w:spacing w:after="120" w:line="276" w:lineRule="auto"/>
      </w:pPr>
      <w:r>
        <w:rPr>
          <w:rFonts w:ascii="Calibri" w:hAnsi="Calibri"/>
          <w:sz w:val="22"/>
        </w:rPr>
        <w:t>The global container ship fleet will add 1.4 million TEU in capacity during 2026, representing a 5% increase in total ocean capacity. While headlines warn of container fleet capacity oversupply, 70% to 80% of these new vessels will enter secondary routes across Africa, Latin America, and India instead of main trade lanes. Demand across those secondary markets expands by 10% to 15% annually.</w:t>
      </w:r>
    </w:p>
    <w:p>
      <w:pPr>
        <w:spacing w:after="120" w:line="276" w:lineRule="auto"/>
      </w:pPr>
      <w:r>
        <w:rPr>
          <w:rFonts w:ascii="Calibri" w:hAnsi="Calibri"/>
          <w:sz w:val="22"/>
        </w:rPr>
        <w:t>Tonnage shortages on primary trade lanes between Asia and Europe or North America will persist, preventing rate collapses. Main trade routes face frequent General Rate Increase (GRI) and Peak Season Surcharges (PSS) spikes, keeping spot rate volatility between $2,000 and $3,000.</w:t>
      </w:r>
    </w:p>
    <w:p>
      <w:pPr>
        <w:spacing w:after="120" w:line="276" w:lineRule="auto"/>
      </w:pPr>
      <w:r>
        <w:rPr>
          <w:rFonts w:ascii="Calibri" w:hAnsi="Calibri"/>
          <w:sz w:val="22"/>
        </w:rPr>
        <w:t>Simultaneously, more than 13% of the global fleet (exceeding 4 million TEU) is over 20 years old and due for scrapping. Scrapping old vessels offsets the new production capacity, keeping net fleet growth around 2% to 3%.</w:t>
      </w:r>
    </w:p>
    <w:p>
      <w:pPr>
        <w:spacing w:after="120" w:line="276" w:lineRule="auto"/>
      </w:pPr>
      <w:r>
        <w:rPr>
          <w:rFonts w:ascii="Calibri" w:hAnsi="Calibri"/>
          <w:sz w:val="22"/>
        </w:rPr>
        <w:t>Rates on Asia to Northern Europe trade routes should remain around $3,500 to $4,500 during this mild downturn, staying well clear of an $1,800 floor. Major ocean carriers manage capacity actively. Maersk and Hapag-Lloyd within the Gemini Alliance restructured 57 services into a hub-and-spoke model, cutting direct voyages to stretch tonnage across network nodes. Gemini Alliance hub-and-spoke reliability allows carriers to maintain high schedule discipline. Meanwhile, MSC and CMA CGM use blank sailings (canceling 5% to 10% of sailings in November and December 2025) while parking 1% to 2% of their total fleet in lay-up.</w:t>
      </w:r>
    </w:p>
    <w:p>
      <w:pPr>
        <w:pStyle w:val="Heading2"/>
      </w:pPr>
      <w:r>
        <w:t>The Suez Canal Reopening Risk</w:t>
      </w:r>
    </w:p>
    <w:p>
      <w:pPr>
        <w:spacing w:after="120" w:line="276" w:lineRule="auto"/>
      </w:pPr>
      <w:r>
        <w:rPr>
          <w:rFonts w:ascii="Calibri" w:hAnsi="Calibri"/>
          <w:sz w:val="22"/>
        </w:rPr>
        <w:t>Nearly 95% of global ocean vessels have avoided the Suez Canal since December 2024 due to regional geopolitical conflicts, rerouting around the Cape of Good Hope in South Africa. The ongoing choice between Suez Canal routing vs Cape of Good Hope navigation remains a central variable for global supply chains.</w:t>
      </w:r>
    </w:p>
    <w:p>
      <w:pPr>
        <w:spacing w:after="120" w:line="276" w:lineRule="auto"/>
      </w:pPr>
      <w:r>
        <w:rPr>
          <w:rFonts w:ascii="Calibri" w:hAnsi="Calibri"/>
          <w:sz w:val="22"/>
        </w:rPr>
        <w:t>Analyst estimates assign a 40% to 50% probability that the canal reopens during the first half of 2026. A ten-month truce, a halt in Houthi maritime attacks, and reduced insurance premiums (now down to 0.3%–0.7%) have prompted carriers like ZIM and CMA CGM to test return passages. Carriers stand ready to resume full Red Sea routing once attack frequencies drop below one or two per month.</w:t>
      </w:r>
    </w:p>
    <w:p>
      <w:pPr>
        <w:spacing w:after="120" w:line="276" w:lineRule="auto"/>
      </w:pPr>
      <w:r>
        <w:rPr>
          <w:rFonts w:ascii="Calibri" w:hAnsi="Calibri"/>
          <w:sz w:val="22"/>
        </w:rPr>
        <w:t>A sudden canal reopening would return 15% to 20% of effective global fleet tonnage to the market almost overnight. The operational aftermath would be severe:</w:t>
      </w:r>
    </w:p>
    <w:p>
      <w:pPr>
        <w:pStyle w:val="ListBullet"/>
        <w:spacing w:after="60"/>
      </w:pPr>
      <w:r>
        <w:rPr>
          <w:rFonts w:ascii="Calibri" w:hAnsi="Calibri"/>
          <w:sz w:val="22"/>
        </w:rPr>
        <w:t>European ports would experience 4 to 8 weeks of severe congestion as weekly ship arrivals double.</w:t>
      </w:r>
    </w:p>
    <w:p>
      <w:pPr>
        <w:pStyle w:val="ListBullet"/>
        <w:spacing w:after="60"/>
      </w:pPr>
      <w:r>
        <w:rPr>
          <w:rFonts w:ascii="Calibri" w:hAnsi="Calibri"/>
          <w:sz w:val="22"/>
        </w:rPr>
        <w:t>Congestion surcharges ranging between $1,500 and $3,000 per container would take effect immediately.</w:t>
      </w:r>
    </w:p>
    <w:p>
      <w:pPr>
        <w:pStyle w:val="ListBullet"/>
        <w:spacing w:after="60"/>
      </w:pPr>
      <w:r>
        <w:rPr>
          <w:rFonts w:ascii="Calibri" w:hAnsi="Calibri"/>
          <w:sz w:val="22"/>
        </w:rPr>
        <w:t>Asia would face a 40'HC equipment shortage lasting 2 to 3 months.</w:t>
      </w:r>
    </w:p>
    <w:p>
      <w:pPr>
        <w:pStyle w:val="ListBullet"/>
        <w:spacing w:after="60"/>
      </w:pPr>
      <w:r>
        <w:rPr>
          <w:rFonts w:ascii="Calibri" w:hAnsi="Calibri"/>
          <w:sz w:val="22"/>
        </w:rPr>
        <w:t>Inland road and rail networks would bottleneck as land transport adapts to altered intermodal container flows.</w:t>
      </w:r>
    </w:p>
    <w:p>
      <w:pPr>
        <w:pStyle w:val="Heading2"/>
      </w:pPr>
      <w:r>
        <w:t>US Import Demand and Carrier Capacity Control</w:t>
      </w:r>
    </w:p>
    <w:p>
      <w:pPr>
        <w:spacing w:after="120" w:line="276" w:lineRule="auto"/>
      </w:pPr>
      <w:r>
        <w:rPr>
          <w:rFonts w:ascii="Calibri" w:hAnsi="Calibri"/>
          <w:sz w:val="22"/>
        </w:rPr>
        <w:t>American importers remain cautious, restricting order sizes to immediate inventory needs due to tariffs on goods originating from China. Sourcing has shifted heavily toward India, Mexico, and Vietnam, whose combined trade volume now exceeds total European Union shipments to the US.</w:t>
      </w:r>
    </w:p>
    <w:p>
      <w:pPr>
        <w:spacing w:after="120" w:line="276" w:lineRule="auto"/>
      </w:pPr>
      <w:r>
        <w:rPr>
          <w:rFonts w:ascii="Calibri" w:hAnsi="Calibri"/>
          <w:sz w:val="22"/>
        </w:rPr>
        <w:t>Any reduction in tariff barriers, economic acceleration, or post-election clarity will prompt importers to rebuild inventories rapidly. A sudden surge in US import tariff frontloading could increase ocean cargo volumes by 30% to 40% within the first 2 to 3 months.</w:t>
      </w:r>
    </w:p>
    <w:p>
      <w:pPr>
        <w:spacing w:after="120" w:line="276" w:lineRule="auto"/>
      </w:pPr>
      <w:r>
        <w:rPr>
          <w:rFonts w:ascii="Calibri" w:hAnsi="Calibri"/>
          <w:sz w:val="22"/>
        </w:rPr>
        <w:t>If rapid US inventory restocking coincides with a Red Sea reopening, surging import demand meets an abrupt surplus of vessel capacity and equipment. Within 4 to 6 weeks, rates for a 40-foot container from Asia to the US West Coast could jump from $2,200 to $6,500 or $9,500+.</w:t>
      </w:r>
    </w:p>
    <w:p>
      <w:pPr>
        <w:spacing w:after="120" w:line="276" w:lineRule="auto"/>
      </w:pPr>
      <w:r>
        <w:rPr>
          <w:rFonts w:ascii="Calibri" w:hAnsi="Calibri"/>
          <w:sz w:val="22"/>
        </w:rPr>
        <w:t>Carriers learned between 2023 and 2025 how to defend freight rate floors above $1,800 to $2,000 per 40'HC. They rely on four primary tools:</w:t>
      </w:r>
    </w:p>
    <w:p>
      <w:pPr>
        <w:pStyle w:val="ListNumber"/>
        <w:spacing w:after="60"/>
      </w:pPr>
      <w:r>
        <w:rPr>
          <w:rFonts w:ascii="Calibri" w:hAnsi="Calibri"/>
          <w:sz w:val="22"/>
        </w:rPr>
        <w:t>Blank sailings: canceling 5% to 10% of scheduled departures during low-demand windows.</w:t>
      </w:r>
    </w:p>
    <w:p>
      <w:pPr>
        <w:pStyle w:val="ListNumber"/>
        <w:spacing w:after="60"/>
      </w:pPr>
      <w:r>
        <w:rPr>
          <w:rFonts w:ascii="Calibri" w:hAnsi="Calibri"/>
          <w:sz w:val="22"/>
        </w:rPr>
        <w:t>Slow streaming: reducing vessel speeds by 1 to 2 knots to save fuel and absorb 10 to 14 days of excess fleet capacity.</w:t>
      </w:r>
    </w:p>
    <w:p>
      <w:pPr>
        <w:pStyle w:val="ListNumber"/>
        <w:spacing w:after="60"/>
      </w:pPr>
      <w:r>
        <w:rPr>
          <w:rFonts w:ascii="Calibri" w:hAnsi="Calibri"/>
          <w:sz w:val="22"/>
        </w:rPr>
        <w:t>Fleet lay-ups: holding 1% to 2% of total vessel capacity in active reserve.</w:t>
      </w:r>
    </w:p>
    <w:p>
      <w:pPr>
        <w:pStyle w:val="ListNumber"/>
        <w:spacing w:after="60"/>
      </w:pPr>
      <w:r>
        <w:rPr>
          <w:rFonts w:ascii="Calibri" w:hAnsi="Calibri"/>
          <w:sz w:val="22"/>
        </w:rPr>
        <w:t>Schedule reliability: the Gemini Alliance achieves 90% to 94% on-time arrivals, with cargo owners paying 15% to 20% higher rates for arrival certainty.</w:t>
      </w:r>
    </w:p>
    <w:p>
      <w:pPr>
        <w:pStyle w:val="Heading2"/>
      </w:pPr>
      <w:r>
        <w:t>2026 Rate Benchmarks and Landed Cost Breakdown</w:t>
      </w:r>
    </w:p>
    <w:p>
      <w:pPr>
        <w:spacing w:after="120" w:line="276" w:lineRule="auto"/>
      </w:pPr>
      <w:r>
        <w:rPr>
          <w:rFonts w:ascii="Calibri" w:hAnsi="Calibri"/>
          <w:sz w:val="22"/>
        </w:rPr>
        <w:t>Managing ocean freight rate volatility 2026 requires looking beyond baseline averages. The actual cost of moving a 40'HC container across major trade lanes depends on how geopolitical and demand factors unfold:</w:t>
      </w:r>
    </w:p>
    <w:p>
      <w:pPr>
        <w:pStyle w:val="ListBullet"/>
        <w:spacing w:after="60"/>
      </w:pPr>
      <w:r>
        <w:rPr>
          <w:rFonts w:ascii="Calibri" w:hAnsi="Calibri"/>
          <w:sz w:val="22"/>
        </w:rPr>
        <w:t>Baseline Scenario (Suez Closed): Asia to US West Coast sits at $2,200–$3,200; Asia to Northern Europe runs $3,500–$4,800.</w:t>
      </w:r>
    </w:p>
    <w:p>
      <w:pPr>
        <w:pStyle w:val="ListBullet"/>
        <w:spacing w:after="60"/>
      </w:pPr>
      <w:r>
        <w:rPr>
          <w:rFonts w:ascii="Calibri" w:hAnsi="Calibri"/>
          <w:sz w:val="22"/>
        </w:rPr>
        <w:t>Reopened Suez (No Demand Surge): Asia to US West Coast drops to $1,800–$2,600; Asia to Northern Europe declines to $2,400–$3,600.</w:t>
      </w:r>
    </w:p>
    <w:p>
      <w:pPr>
        <w:pStyle w:val="ListBullet"/>
        <w:spacing w:after="60"/>
      </w:pPr>
      <w:r>
        <w:rPr>
          <w:rFonts w:ascii="Calibri" w:hAnsi="Calibri"/>
          <w:sz w:val="22"/>
        </w:rPr>
        <w:t>Reopened Suez + US Frontloading Spike: Asia to US West Coast surges to $6,500–$9,500+; Asia to Northern Europe jumps to $8,000–$12,000+.</w:t>
      </w:r>
    </w:p>
    <w:p>
      <w:pPr>
        <w:spacing w:after="120" w:line="276" w:lineRule="auto"/>
      </w:pPr>
      <w:r>
        <w:rPr>
          <w:rFonts w:ascii="Calibri" w:hAnsi="Calibri"/>
          <w:sz w:val="22"/>
        </w:rPr>
        <w:t>Evaluating total exposure requires updating every landed cost calculation across the full supply chain. Ocean freight represents only one component of final landed costs:</w:t>
      </w:r>
    </w:p>
    <w:p>
      <w:pPr>
        <w:pStyle w:val="ListBullet"/>
        <w:spacing w:after="60"/>
      </w:pPr>
      <w:r>
        <w:rPr>
          <w:rFonts w:ascii="Calibri" w:hAnsi="Calibri"/>
          <w:sz w:val="22"/>
        </w:rPr>
        <w:t>FOB Product Value: $8,000</w:t>
      </w:r>
    </w:p>
    <w:p>
      <w:pPr>
        <w:pStyle w:val="ListBullet"/>
        <w:spacing w:after="60"/>
      </w:pPr>
      <w:r>
        <w:rPr>
          <w:rFonts w:ascii="Calibri" w:hAnsi="Calibri"/>
          <w:sz w:val="22"/>
        </w:rPr>
        <w:t>Ocean Freight: $2,200 to $9,500</w:t>
      </w:r>
    </w:p>
    <w:p>
      <w:pPr>
        <w:pStyle w:val="ListBullet"/>
        <w:spacing w:after="60"/>
      </w:pPr>
      <w:r>
        <w:rPr>
          <w:rFonts w:ascii="Calibri" w:hAnsi="Calibri"/>
          <w:sz w:val="22"/>
        </w:rPr>
        <w:t>Customs Duties: 0% to 30%</w:t>
      </w:r>
    </w:p>
    <w:p>
      <w:pPr>
        <w:pStyle w:val="ListBullet"/>
        <w:spacing w:after="60"/>
      </w:pPr>
      <w:r>
        <w:rPr>
          <w:rFonts w:ascii="Calibri" w:hAnsi="Calibri"/>
          <w:sz w:val="22"/>
        </w:rPr>
        <w:t>Terminal Handling Charges (THC): $300 to $800</w:t>
      </w:r>
    </w:p>
    <w:p>
      <w:pPr>
        <w:pStyle w:val="ListBullet"/>
        <w:spacing w:after="60"/>
      </w:pPr>
      <w:r>
        <w:rPr>
          <w:rFonts w:ascii="Calibri" w:hAnsi="Calibri"/>
          <w:sz w:val="22"/>
        </w:rPr>
        <w:t>Congestion Surcharges: $0 to $3,000</w:t>
      </w:r>
    </w:p>
    <w:p>
      <w:pPr>
        <w:pStyle w:val="ListBullet"/>
        <w:spacing w:after="60"/>
      </w:pPr>
      <w:r>
        <w:rPr>
          <w:rFonts w:ascii="Calibri" w:hAnsi="Calibri"/>
          <w:sz w:val="22"/>
        </w:rPr>
        <w:t>Demurrage and Detention: $500 to $2,000</w:t>
      </w:r>
    </w:p>
    <w:p>
      <w:pPr>
        <w:pStyle w:val="ListBullet"/>
        <w:spacing w:after="60"/>
      </w:pPr>
      <w:r>
        <w:rPr>
          <w:rFonts w:ascii="Calibri" w:hAnsi="Calibri"/>
          <w:sz w:val="22"/>
        </w:rPr>
        <w:t>Inland Transportation: $1,500 to $4,000</w:t>
      </w:r>
    </w:p>
    <w:p>
      <w:pPr>
        <w:pStyle w:val="ListBullet"/>
        <w:spacing w:after="60"/>
      </w:pPr>
      <w:r>
        <w:rPr>
          <w:rFonts w:ascii="Calibri" w:hAnsi="Calibri"/>
          <w:sz w:val="22"/>
        </w:rPr>
        <w:t>Cargo Insurance: $100 to $400</w:t>
      </w:r>
    </w:p>
    <w:p>
      <w:pPr>
        <w:pStyle w:val="ListBullet"/>
        <w:spacing w:after="60"/>
      </w:pPr>
      <w:r>
        <w:rPr>
          <w:rFonts w:ascii="Calibri" w:hAnsi="Calibri"/>
          <w:sz w:val="22"/>
        </w:rPr>
        <w:t>Total Landed Cost per Container: $12,000 to $28,000+</w:t>
      </w:r>
    </w:p>
    <w:p>
      <w:pPr>
        <w:spacing w:after="120" w:line="276" w:lineRule="auto"/>
      </w:pPr>
      <w:r>
        <w:rPr>
          <w:rFonts w:ascii="Calibri" w:hAnsi="Calibri"/>
          <w:sz w:val="22"/>
        </w:rPr>
        <w:t>Role-based planning strategies help mitigate these financial swings:</w:t>
      </w:r>
    </w:p>
    <w:p>
      <w:pPr>
        <w:pStyle w:val="ListBullet"/>
        <w:spacing w:after="60"/>
      </w:pPr>
      <w:r>
        <w:rPr>
          <w:rFonts w:ascii="Calibri" w:hAnsi="Calibri"/>
          <w:sz w:val="22"/>
        </w:rPr>
        <w:t>Beneficial Cargo Owners (BCOs) and Importers: Expand safety stocks by 25%, utilize Freight futures hedging (FBX), and build landed cost budgeting models.</w:t>
      </w:r>
    </w:p>
    <w:p>
      <w:pPr>
        <w:pStyle w:val="ListBullet"/>
        <w:spacing w:after="60"/>
      </w:pPr>
      <w:r>
        <w:rPr>
          <w:rFonts w:ascii="Calibri" w:hAnsi="Calibri"/>
          <w:sz w:val="22"/>
        </w:rPr>
        <w:t>Forwarders and NVOCCs: Maintain two separate contract pools for open and closed Suez routes, leverage premium reliability options, and account for port congestion surcharges.</w:t>
      </w:r>
    </w:p>
    <w:p>
      <w:pPr>
        <w:pStyle w:val="ListBullet"/>
        <w:spacing w:after="60"/>
      </w:pPr>
      <w:r>
        <w:rPr>
          <w:rFonts w:ascii="Calibri" w:hAnsi="Calibri"/>
          <w:sz w:val="22"/>
        </w:rPr>
        <w:t>3PLs and Ocean Carriers: Sell schedule certainty, offer real-time cargo visibility, and maintain a +-35% tariff buffer.</w:t>
      </w:r>
    </w:p>
    <w:p>
      <w:pPr>
        <w:pStyle w:val="ListBullet"/>
        <w:spacing w:after="60"/>
      </w:pPr>
      <w:r>
        <w:rPr>
          <w:rFonts w:ascii="Calibri" w:hAnsi="Calibri"/>
          <w:sz w:val="22"/>
        </w:rPr>
        <w:t>Corporate Financial Officers (CFOs): Model budgets around the full $2,200 to $9,500 freight range, adopt FBX futures hedging, and maintain a 30% financial liquidity reserve.</w:t>
      </w:r>
    </w:p>
    <w:p>
      <w:pPr>
        <w:pStyle w:val="ListBullet"/>
        <w:spacing w:after="60"/>
      </w:pPr>
      <w:r>
        <w:rPr>
          <w:rFonts w:ascii="Calibri" w:hAnsi="Calibri"/>
          <w:sz w:val="22"/>
        </w:rPr>
        <w:t>Exporters in Vietnam and India: Reserve 40'HC equipment 3 to 4 months in advance and add 2 weeks of transit buffer.</w:t>
      </w:r>
    </w:p>
    <w:p>
      <w:pPr>
        <w:pStyle w:val="Heading2"/>
      </w:pPr>
      <w:r>
        <w:t>Strategic Action Plan for 2026</w:t>
      </w:r>
    </w:p>
    <w:p>
      <w:pPr>
        <w:spacing w:after="120" w:line="276" w:lineRule="auto"/>
      </w:pPr>
      <w:r>
        <w:rPr>
          <w:rFonts w:ascii="Calibri" w:hAnsi="Calibri"/>
          <w:sz w:val="22"/>
        </w:rPr>
        <w:t>To protect margins against sudden rate swings, shippers can execute six practical steps:</w:t>
      </w:r>
    </w:p>
    <w:p>
      <w:pPr>
        <w:pStyle w:val="ListNumber"/>
        <w:spacing w:after="60"/>
      </w:pPr>
      <w:r>
        <w:rPr>
          <w:rFonts w:ascii="Calibri" w:hAnsi="Calibri"/>
          <w:sz w:val="22"/>
        </w:rPr>
        <w:t>Draft two separate annual freight contracts to accommodate both open and closed Suez Canal scenarios.</w:t>
      </w:r>
    </w:p>
    <w:p>
      <w:pPr>
        <w:pStyle w:val="ListNumber"/>
        <w:spacing w:after="60"/>
      </w:pPr>
      <w:r>
        <w:rPr>
          <w:rFonts w:ascii="Calibri" w:hAnsi="Calibri"/>
          <w:sz w:val="22"/>
        </w:rPr>
        <w:t>Elevate safety stock buffer levels by 20% to 30% across key regional warehouses.</w:t>
      </w:r>
    </w:p>
    <w:p>
      <w:pPr>
        <w:pStyle w:val="ListNumber"/>
        <w:spacing w:after="60"/>
      </w:pPr>
      <w:r>
        <w:rPr>
          <w:rFonts w:ascii="Calibri" w:hAnsi="Calibri"/>
          <w:sz w:val="22"/>
        </w:rPr>
        <w:t>Track real-time freight indexes continuously to catch rate movements early.</w:t>
      </w:r>
    </w:p>
    <w:p>
      <w:pPr>
        <w:pStyle w:val="ListNumber"/>
        <w:spacing w:after="60"/>
      </w:pPr>
      <w:r>
        <w:rPr>
          <w:rFonts w:ascii="Calibri" w:hAnsi="Calibri"/>
          <w:sz w:val="22"/>
        </w:rPr>
        <w:t>Shift 10% to 20% of time-critical shipment volume to high-reliability ocean services like the Gemini Alliance.</w:t>
      </w:r>
    </w:p>
    <w:p>
      <w:pPr>
        <w:pStyle w:val="ListNumber"/>
        <w:spacing w:after="60"/>
      </w:pPr>
      <w:r>
        <w:rPr>
          <w:rFonts w:ascii="Calibri" w:hAnsi="Calibri"/>
          <w:sz w:val="22"/>
        </w:rPr>
        <w:t>Transition corporate budgeting entirely to total landed cost modeling.</w:t>
      </w:r>
    </w:p>
    <w:p>
      <w:pPr>
        <w:pStyle w:val="ListNumber"/>
        <w:spacing w:after="60"/>
      </w:pPr>
      <w:r>
        <w:rPr>
          <w:rFonts w:ascii="Calibri" w:hAnsi="Calibri"/>
          <w:sz w:val="22"/>
        </w:rPr>
        <w:t>Schedule a 30-minute consultation with SeaRates logistics specialists to review current contracts and adjust route allocations.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2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