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pPr>
      <w:r>
        <w:rPr>
          <w:rFonts w:ascii="Calibri" w:hAnsi="Calibri"/>
          <w:b/>
          <w:color w:val="111827"/>
          <w:sz w:val="44"/>
        </w:rPr>
        <w:t>Decarbonizing Roll-on/Roll-off Freight: Modern Clean Technologies and Fleet Compliance</w:t>
      </w:r>
    </w:p>
    <w:p>
      <w:pPr>
        <w:spacing w:before="0" w:after="360"/>
      </w:pPr>
      <w:r>
        <w:rPr>
          <w:rFonts w:ascii="Calibri" w:hAnsi="Calibri"/>
          <w:b/>
          <w:i/>
          <w:sz w:val="18"/>
        </w:rPr>
        <w:t xml:space="preserve">Meta Title: </w:t>
      </w:r>
      <w:r>
        <w:rPr>
          <w:rFonts w:ascii="Calibri" w:hAnsi="Calibri"/>
          <w:i/>
          <w:sz w:val="18"/>
        </w:rPr>
        <w:t>Green RoRo Shipping: Clean Fuels &amp; Decarbonization</w:t>
        <w:br/>
      </w:r>
      <w:r>
        <w:rPr>
          <w:rFonts w:ascii="Calibri" w:hAnsi="Calibri"/>
          <w:b/>
          <w:i/>
          <w:sz w:val="18"/>
        </w:rPr>
        <w:t xml:space="preserve">Meta Description: </w:t>
      </w:r>
      <w:r>
        <w:rPr>
          <w:rFonts w:ascii="Calibri" w:hAnsi="Calibri"/>
          <w:i/>
          <w:sz w:val="18"/>
        </w:rPr>
        <w:t>Discover how clean fuels, shore power, and digital carbon tools drive emissions reduction &amp; fleet optimization in sustainable maritime logistics.</w:t>
      </w:r>
    </w:p>
    <w:p>
      <w:pPr>
        <w:spacing w:before="0" w:after="160" w:line="276" w:lineRule="auto"/>
      </w:pPr>
      <w:r>
        <w:rPr>
          <w:rFonts w:ascii="Calibri" w:hAnsi="Calibri"/>
          <w:sz w:val="22"/>
        </w:rPr>
        <w:t>Roll-on/Roll-off shipping plays a vital role in global trade, competing directly with land transportation while moving wheeled freight alongside containers, dry bulk, and liquid cargo. Moving heavy loads across oceans requires substantial energy, prompting carriers and cargo owners to adopt eco-friendly cargo practices across their global supply chains. Hydrogen fuel cells, low-sulfur fuels, and real-time carbon auditing are shifting from experimental projects into everyday fleet operations.</w:t>
      </w:r>
    </w:p>
    <w:p>
      <w:pPr>
        <w:spacing w:before="280" w:after="120"/>
      </w:pPr>
      <w:r>
        <w:rPr>
          <w:rFonts w:ascii="Calibri" w:hAnsi="Calibri"/>
          <w:b/>
          <w:color w:val="1F2937"/>
          <w:sz w:val="30"/>
        </w:rPr>
        <w:t>Operational Dynamics and Energy Efficiency</w:t>
      </w:r>
    </w:p>
    <w:p>
      <w:pPr>
        <w:spacing w:before="0" w:after="160" w:line="276" w:lineRule="auto"/>
      </w:pPr>
      <w:r>
        <w:rPr>
          <w:rFonts w:ascii="Calibri" w:hAnsi="Calibri"/>
          <w:sz w:val="22"/>
        </w:rPr>
        <w:t>Calculating fuel consumption across Ro-Ro routes depends on speed, vessel capacity, and port operational efficiency. High sailing speeds combined with lower cargo volumes raise fuel burn and increase greenhouse emissions. Managing these variables lets logistics planners forecast energy demands and refine sailing schedules.</w:t>
      </w:r>
    </w:p>
    <w:p>
      <w:pPr>
        <w:spacing w:before="0" w:after="160" w:line="276" w:lineRule="auto"/>
      </w:pPr>
      <w:r>
        <w:rPr>
          <w:rFonts w:ascii="Calibri" w:hAnsi="Calibri"/>
          <w:sz w:val="22"/>
        </w:rPr>
        <w:t>Integrating Ro-Ro vessels into intermodal routes bypasses congested highway corridors. Shifting long-distance freight from highways to sea lanes lowers overall transport emissions across multi-leg supply chains.</w:t>
      </w:r>
    </w:p>
    <w:p>
      <w:pPr>
        <w:spacing w:before="280" w:after="120"/>
      </w:pPr>
      <w:r>
        <w:rPr>
          <w:rFonts w:ascii="Calibri" w:hAnsi="Calibri"/>
          <w:b/>
          <w:color w:val="1F2937"/>
          <w:sz w:val="30"/>
        </w:rPr>
        <w:t>Global Mandates Reshaping Fleet Compliance</w:t>
      </w:r>
    </w:p>
    <w:p>
      <w:pPr>
        <w:spacing w:before="0" w:after="160" w:line="276" w:lineRule="auto"/>
      </w:pPr>
      <w:r>
        <w:rPr>
          <w:rFonts w:ascii="Calibri" w:hAnsi="Calibri"/>
          <w:sz w:val="22"/>
        </w:rPr>
        <w:t>Regulatory mandates are reshaping financial and operational planning for ocean carriers. The International Maritime Organization enforced a global sulfur cap of 0.5% in marine fuel on January 1, 2020, dropping from the previous limit of 3.5%. Earlier sulfur restrictions applied primarily to regional Emission Control Areas like North America and the Baltic Sea, whereas IMO 2020 created a uniform global standard.</w:t>
      </w:r>
    </w:p>
    <w:p>
      <w:pPr>
        <w:spacing w:before="0" w:after="160" w:line="276" w:lineRule="auto"/>
      </w:pPr>
      <w:r>
        <w:rPr>
          <w:rFonts w:ascii="Calibri" w:hAnsi="Calibri"/>
          <w:sz w:val="22"/>
        </w:rPr>
        <w:t>The IMO targets a 40% reduction in shipping carbon intensity by 2030, targeting net-zero emissions around 2050. Regional policies reinforce these international benchmarks. The EU Emission Trading Scheme mandates monitoring, reporting, and purchasing allowances for CO2 emissions generated in European waters. Staying compliant helps carriers avoid financial penalties while building sustainable maritime logistics networks.</w:t>
      </w:r>
    </w:p>
    <w:p>
      <w:pPr>
        <w:spacing w:before="280" w:after="120"/>
      </w:pPr>
      <w:r>
        <w:rPr>
          <w:rFonts w:ascii="Calibri" w:hAnsi="Calibri"/>
          <w:b/>
          <w:color w:val="1F2937"/>
          <w:sz w:val="30"/>
        </w:rPr>
        <w:t>Clean Technologies Driving Vessel Transformation</w:t>
      </w:r>
    </w:p>
    <w:p>
      <w:pPr>
        <w:spacing w:before="0" w:after="160" w:line="276" w:lineRule="auto"/>
      </w:pPr>
      <w:r>
        <w:rPr>
          <w:rFonts w:ascii="Calibri" w:hAnsi="Calibri"/>
          <w:sz w:val="22"/>
        </w:rPr>
        <w:t>Operational adjustments and hardware retrofits play key roles in maritime decarbonization. Modern green RoRo shipping strategies deploy multiple technological measures across vessel fleets:</w:t>
      </w:r>
    </w:p>
    <w:p>
      <w:pPr>
        <w:pStyle w:val="ListBullet"/>
        <w:spacing w:before="0" w:after="80"/>
      </w:pPr>
      <w:r>
        <w:rPr>
          <w:rFonts w:ascii="Calibri" w:hAnsi="Calibri"/>
          <w:sz w:val="22"/>
        </w:rPr>
      </w:r>
      <w:r>
        <w:rPr>
          <w:rFonts w:ascii="Calibri" w:hAnsi="Calibri"/>
          <w:b/>
          <w:sz w:val="22"/>
        </w:rPr>
        <w:t>Alternative Fuel Adoption</w:t>
      </w:r>
      <w:r>
        <w:rPr>
          <w:rFonts w:ascii="Calibri" w:hAnsi="Calibri"/>
          <w:sz w:val="22"/>
        </w:rPr>
        <w:t>: Operators transition to low-sulfur fuels, biofuels, FuelEU Maritime compliant blends, and LNG-powered RoRo vessels. Hydrogen fuel cells are entering commercial testing for specialized applications.</w:t>
      </w:r>
    </w:p>
    <w:p>
      <w:pPr>
        <w:pStyle w:val="ListBullet"/>
        <w:spacing w:before="0" w:after="80"/>
      </w:pPr>
      <w:r>
        <w:rPr>
          <w:rFonts w:ascii="Calibri" w:hAnsi="Calibri"/>
          <w:sz w:val="22"/>
        </w:rPr>
      </w:r>
      <w:r>
        <w:rPr>
          <w:rFonts w:ascii="Calibri" w:hAnsi="Calibri"/>
          <w:b/>
          <w:sz w:val="22"/>
        </w:rPr>
        <w:t>Hydrodynamic Efficiency</w:t>
      </w:r>
      <w:r>
        <w:rPr>
          <w:rFonts w:ascii="Calibri" w:hAnsi="Calibri"/>
          <w:sz w:val="22"/>
        </w:rPr>
        <w:t>: Installing bulbous bows, air lubrication systems, optimized propellers, and waste heat recovery units reduces engine load. Slow steaming routines cut fuel consumption on long journeys, while exhaust gas cleaning systems manage residual pollutants.</w:t>
      </w:r>
    </w:p>
    <w:p>
      <w:pPr>
        <w:pStyle w:val="ListBullet"/>
        <w:spacing w:before="0" w:after="80"/>
      </w:pPr>
      <w:r>
        <w:rPr>
          <w:rFonts w:ascii="Calibri" w:hAnsi="Calibri"/>
          <w:sz w:val="22"/>
        </w:rPr>
      </w:r>
      <w:r>
        <w:rPr>
          <w:rFonts w:ascii="Calibri" w:hAnsi="Calibri"/>
          <w:b/>
          <w:sz w:val="22"/>
        </w:rPr>
        <w:t>Electrification Solutions</w:t>
      </w:r>
      <w:r>
        <w:rPr>
          <w:rFonts w:ascii="Calibri" w:hAnsi="Calibri"/>
          <w:sz w:val="22"/>
        </w:rPr>
        <w:t>: Short sea shipping routes deploy electric powertrains, hybrid engines, and fully electric Ro-Ro ferries for short regional runs.</w:t>
      </w:r>
    </w:p>
    <w:p>
      <w:pPr>
        <w:pStyle w:val="ListBullet"/>
        <w:spacing w:before="0" w:after="80"/>
      </w:pPr>
      <w:r>
        <w:rPr>
          <w:rFonts w:ascii="Calibri" w:hAnsi="Calibri"/>
          <w:sz w:val="22"/>
        </w:rPr>
      </w:r>
      <w:r>
        <w:rPr>
          <w:rFonts w:ascii="Calibri" w:hAnsi="Calibri"/>
          <w:b/>
          <w:sz w:val="22"/>
        </w:rPr>
        <w:t>Biosecurity Systems</w:t>
      </w:r>
      <w:r>
        <w:rPr>
          <w:rFonts w:ascii="Calibri" w:hAnsi="Calibri"/>
          <w:sz w:val="22"/>
        </w:rPr>
        <w:t>: Ballast water treatment systems utilize ultraviolet irradiation to deactivate marine bacteria and viruses before discharge.</w:t>
      </w:r>
    </w:p>
    <w:p>
      <w:pPr>
        <w:pStyle w:val="ListBullet"/>
        <w:spacing w:before="0" w:after="80"/>
      </w:pPr>
      <w:r>
        <w:rPr>
          <w:rFonts w:ascii="Calibri" w:hAnsi="Calibri"/>
          <w:sz w:val="22"/>
        </w:rPr>
      </w:r>
      <w:r>
        <w:rPr>
          <w:rFonts w:ascii="Calibri" w:hAnsi="Calibri"/>
          <w:b/>
          <w:sz w:val="22"/>
        </w:rPr>
        <w:t>Waste Management</w:t>
      </w:r>
      <w:r>
        <w:rPr>
          <w:rFonts w:ascii="Calibri" w:hAnsi="Calibri"/>
          <w:sz w:val="22"/>
        </w:rPr>
        <w:t>: Dedicated onboard recycling and waste reduction routines limit environmental impact during transit.</w:t>
      </w:r>
    </w:p>
    <w:p>
      <w:pPr>
        <w:spacing w:before="280" w:after="120"/>
      </w:pPr>
      <w:r>
        <w:rPr>
          <w:rFonts w:ascii="Calibri" w:hAnsi="Calibri"/>
          <w:b/>
          <w:color w:val="1F2937"/>
          <w:sz w:val="30"/>
        </w:rPr>
        <w:t>Shore Power and Terminal Upgrades</w:t>
      </w:r>
    </w:p>
    <w:p>
      <w:pPr>
        <w:spacing w:before="0" w:after="160" w:line="276" w:lineRule="auto"/>
      </w:pPr>
      <w:r>
        <w:rPr>
          <w:rFonts w:ascii="Calibri" w:hAnsi="Calibri"/>
          <w:sz w:val="22"/>
        </w:rPr>
        <w:t>Vessel improvements require matching port infrastructure to achieve full environmental benefits. Onshore power systems, known as cold ironing or shore power, allow docked vessels to shut down auxiliary diesel generators and plug directly into land-based electricity grids. Terminals powered by renewable energy cut localized air pollution and noise in port communities during loading operations.</w:t>
      </w:r>
    </w:p>
    <w:p>
      <w:pPr>
        <w:spacing w:before="280" w:after="120"/>
      </w:pPr>
      <w:r>
        <w:rPr>
          <w:rFonts w:ascii="Calibri" w:hAnsi="Calibri"/>
          <w:b/>
          <w:color w:val="1F2937"/>
          <w:sz w:val="30"/>
        </w:rPr>
        <w:t>Digital Intelligence and Carbon Tracking Tools</w:t>
      </w:r>
    </w:p>
    <w:p>
      <w:pPr>
        <w:spacing w:before="0" w:after="160" w:line="276" w:lineRule="auto"/>
      </w:pPr>
      <w:r>
        <w:rPr>
          <w:rFonts w:ascii="Calibri" w:hAnsi="Calibri"/>
          <w:sz w:val="22"/>
        </w:rPr>
        <w:t>Digital platforms provide visibility into fuel performance and route efficiency. SeaRates carbon calculation tools allow shippers to calculate CO2 emissions for specific ocean routes in real time and evaluate performance across different carriers.</w:t>
      </w:r>
    </w:p>
    <w:p>
      <w:pPr>
        <w:spacing w:before="0" w:after="160" w:line="276" w:lineRule="auto"/>
      </w:pPr>
      <w:r>
        <w:rPr>
          <w:rFonts w:ascii="Calibri" w:hAnsi="Calibri"/>
          <w:sz w:val="22"/>
        </w:rPr>
        <w:t>Using integrated route distance and transit time calculations alongside tracking systems gives logistics teams complete transparency across their supply chains. The SeaRates CO2 Calculator and Ecology Support Programme enable single-click carbon offsets, connecting daily shipping decisions directly to emissions reduction &amp; fleet optimization goals.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