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Fixing European Port Congestion in 2025</w:t>
      </w:r>
    </w:p>
    <w:p>
      <w:r>
        <w:rPr>
          <w:i/>
          <w:sz w:val="18"/>
        </w:rPr>
        <w:t>Meta Title: European Port Congestion 2025: Delays &amp; Routes</w:t>
        <w:br/>
      </w:r>
      <w:r>
        <w:rPr>
          <w:i/>
          <w:sz w:val="18"/>
        </w:rPr>
        <w:t>Meta Description: Handle European port congestion 2025. Find Rotterdam and Antwerp freight alternatives, manage Rhine barge water levels, and track container shipments.</w:t>
        <w:br/>
      </w:r>
    </w:p>
    <w:p>
      <w:r>
        <w:t>When container ships queue at Europe's largest gateways, supply chains discover how fragile their timing really is.</w:t>
      </w:r>
    </w:p>
    <w:p>
      <w:r>
        <w:t>June 2025 saw severe delays build across Northern Europe. Ships anchored off Rotterdam and Antwerp faced port wait times of 48 to 72 hours, with some vessels waiting several days for a berth. Summer container volume surged while labor strikes and operational bottlenecks limited terminal output. Heavy cargo flows overwhelmed standard port capacity.</w:t>
      </w:r>
    </w:p>
    <w:p>
      <w:r>
        <w:t>Rotterdam and Hamburg typically turn vessels around within 8 to 12 hours. Severe backlogs are pushing volume toward secondary facilities. Smaller marine terminals function with reduced workforce numbers and lighter equipment, making holds of 10 to 30 hours routine during peak summer windows.</w:t>
      </w:r>
    </w:p>
    <w:p>
      <w:r>
        <w:t>Bypassing Northern European port delays in 2025 requires rerouting cargo away from congested gateways. Shippers searching for Rotterdam and Antwerp freight alternatives can find alternative corridors into the continent. Hamburg and Bremerhaven process high container volumes with shorter queue times than Rotterdam or Antwerp. For Northern European transit, Felixstowe maintains manageable waiting windows of 10 to 30 hours. Stockholm and Tallinn manage Baltic trade lanes, while Liverpool handles western entries. Gdansk moves incoming containers in 24 to 48 hours for Central and Eastern European destinations. Trieste offers 20 to 40 hour terminal stays, connecting ocean freight directly to rail and highway links into Central Europe.</w:t>
      </w:r>
    </w:p>
    <w:p>
      <w:r>
        <w:t>Major ocean carriers are modifying network schedules. MSC prolonged transit times on two main strings because of port bottlenecks and market pressure. Asian lines like HMM reported Hamburg port stays extending up to six days. Market intelligence from Lloyd's List and Drewry indicates Antwerp vessel delays climbed from a 32-hour average at April's start to 44 hours by late May, representing a 37 percent rise. Delays will likely persist through the peak transport season ending in August 2025.</w:t>
      </w:r>
    </w:p>
    <w:p>
      <w:r>
        <w:t>Maersk adjusted its service loops by dropping Rotterdam calls and shifting focus to Hamburg. In May 2025, Maersk introduced an inland transshipment fee of EUR 10 per TEU across feeder truck, rail, barge, or intermodal links handling cargo through Rotterdam and Antwerp. The surcharge helps preserve overland transit reliability.</w:t>
      </w:r>
    </w:p>
    <w:p>
      <w:r>
        <w:t>Logistics managers can evaluate carrier rate breakdowns inside Logistics Explorer to secure predictable freight charges. Reviewing vessel sailing schedules identifies regional ports offering faster turnaround. Booking space weeks ahead helps offset unexpected delays.</w:t>
      </w:r>
    </w:p>
    <w:p>
      <w:r>
        <w:t>River transport faces capacity constraints this season. Drought conditions reduced Rhine barge water levels and surrounding inland waterways, lowering vessel carrying capacity. River operators are maximizing load volumes per voyage and scheduling departures early before seasonal water levels drop. For time-sensitive shipments on intra-European corridors, rail and motor freight provide reliable secondary options.</w:t>
      </w:r>
    </w:p>
    <w:p>
      <w:r>
        <w:t>Tracking technology offers visibility when carrier routes change. Container Tracking by SeaRates monitors container updates using container numbers, bill of lading codes, or booking numbers across more than 200 ocean carriers and equipment leasing firms. The service delivers predictive ETA data, route changes, customs events, and voyage milestones while tracking up to 25 shipment exceptions. Integrating these tracking feeds gives cargo owners real-time alerts whenever shipping lines revise port calls.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