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Port Delays Surge 300%: Main Drivers Behind the Summer Peak Backlog</w:t>
      </w:r>
    </w:p>
    <w:p>
      <w:r>
        <w:rPr>
          <w:i/>
          <w:color w:val="555555"/>
          <w:sz w:val="18"/>
        </w:rPr>
        <w:t>Meta Title: Global Port Delays Surge 300% Across Terminals</w:t>
        <w:br/>
        <w:t>Meta Description: Global port congestion hit 96% of container terminals in June 2025. Learn how dwell times, freight rates, and demurrage fees surged.</w:t>
      </w:r>
    </w:p>
    <w:p>
      <w:pPr>
        <w:pStyle w:val="Heading2"/>
      </w:pPr>
      <w:r>
        <w:t>June 2025 Terminal Gridlock</w:t>
      </w:r>
    </w:p>
    <w:p>
      <w:r>
        <w:t>Throughout June 2025, container terminals worldwide faced unprecedented congestion that disrupted global trade flows. Shipping delays expanded three-fold, leaving 96% of container terminals worldwide facing backlogs. Container dwell times tripled across major maritime facilities during this peak period.</w:t>
      </w:r>
    </w:p>
    <w:p>
      <w:r>
        <w:t>Major gateways across multiple trade lanes experienced significant operational slowdowns. Asian hubs including Shanghai, Singapore, Ningbo-Zhoushan, Qingdao, and Chittagong faced heavy delays alongside European centers Antwerp, Rotterdam, and Hamburg. Disruption also affected Cape Town, Haifa, Vancouver, and Savannah.</w:t>
      </w:r>
    </w:p>
    <w:p>
      <w:pPr>
        <w:pStyle w:val="Heading2"/>
      </w:pPr>
      <w:r>
        <w:t>Compounding Demurrage and Route Costs</w:t>
      </w:r>
    </w:p>
    <w:p>
      <w:r>
        <w:t>Daily fees accumulated rapidly as container delays persisted. Demurrage charges at the top 15 congested ports, including Rotterdam, Singapore, Antwerp, and Cape Town, ranged between $75 and $300 per container per day.</w:t>
      </w:r>
    </w:p>
    <w:p>
      <w:r>
        <w:t>Vessel rerouting through Red Sea ports like Jeddah, Port Said, and Suez triggered a 141% freight rate surge across Red Sea routes.</w:t>
      </w:r>
    </w:p>
    <w:p>
      <w:r>
        <w:t>Freight costs along the Shanghai to Rotterdam corridor surged 230% higher than June 2013 benchmarks, driven by severe congestion at Rotterdam and rising fuel costs. Overall sea freight costs rose by 20% to 40% on average across global trade lanes.</w:t>
      </w:r>
    </w:p>
    <w:p>
      <w:pPr>
        <w:pStyle w:val="Heading2"/>
      </w:pPr>
      <w:r>
        <w:t>Operational Response and Tracking Capabilities</w:t>
      </w:r>
    </w:p>
    <w:p>
      <w:r>
        <w:t>Shippers adapted through three primary strategies: reviewing carrier contracts, routing cargo through alternative gateways, and adopting tracking technology.</w:t>
      </w:r>
    </w:p>
    <w:p>
      <w:r>
        <w:t>Managing container congestion requires real-time visibility across active shipments. SeaRates Container Tracking supports over 200 shipping lines and monitors up to 25 shipment exceptions in real time. The platform provides predictive ETA capabilities, web dashboard integration, and API connection options to help cargo owners manage delays.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