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1F497D"/>
          <w:sz w:val="44"/>
        </w:rPr>
        <w:t>Hidden Costs in Ocean Freight: A Budget Guide</w:t>
      </w:r>
    </w:p>
    <w:p>
      <w:pPr>
        <w:spacing w:after="240"/>
      </w:pPr>
      <w:r>
        <w:rPr>
          <w:rFonts w:ascii="Calibri" w:hAnsi="Calibri"/>
          <w:i/>
          <w:color w:val="595959"/>
          <w:sz w:val="18"/>
        </w:rPr>
        <w:t>Meta Title: Hidden Ocean Freight Costs: Complete Carrier Fee Guide</w:t>
        <w:br/>
      </w:r>
      <w:r>
        <w:rPr>
          <w:rFonts w:ascii="Calibri" w:hAnsi="Calibri"/>
          <w:i/>
          <w:color w:val="595959"/>
          <w:sz w:val="18"/>
        </w:rPr>
        <w:t>Meta Description: Uncover 10 hidden ocean freight surcharges, evaluate carrier quotes, and protect your budget against unexpected demurrage, detention, and port fees.</w:t>
      </w:r>
    </w:p>
    <w:p>
      <w:pPr>
        <w:spacing w:after="120" w:line="276" w:lineRule="auto"/>
      </w:pPr>
      <w:r>
        <w:rPr>
          <w:rFonts w:ascii="Calibri" w:hAnsi="Calibri"/>
          <w:sz w:val="22"/>
        </w:rPr>
        <w:t>A carrier quote promises a destination, but the fine print dictates what you pay to get there.</w:t>
      </w:r>
    </w:p>
    <w:p>
      <w:pPr>
        <w:spacing w:after="120" w:line="276" w:lineRule="auto"/>
      </w:pPr>
      <w:r>
        <w:rPr>
          <w:rFonts w:ascii="Calibri" w:hAnsi="Calibri"/>
          <w:sz w:val="22"/>
        </w:rPr>
        <w:t>The initial base rate is an iceberg, floating quietly while most of your shipping expense sits submerged beneath the surface. Accepting that initial line item as your final price leaves your margins exposed to unexpected ocean freight surcharges. Managing sea logistics requires looking directly at the secondary line items that accumulate between origin and final delivery.</w:t>
      </w:r>
    </w:p>
    <w:p>
      <w:pPr>
        <w:pStyle w:val="Heading2"/>
        <w:spacing w:before="240" w:after="120"/>
      </w:pPr>
      <w:r>
        <w:rPr>
          <w:rFonts w:ascii="Calibri" w:hAnsi="Calibri"/>
          <w:b/>
          <w:color w:val="1F497D"/>
          <w:sz w:val="32"/>
        </w:rPr>
        <w:t>Fuel Shifts and Currency Risks</w:t>
      </w:r>
    </w:p>
    <w:p>
      <w:pPr>
        <w:spacing w:after="120" w:line="276" w:lineRule="auto"/>
      </w:pPr>
      <w:r>
        <w:rPr>
          <w:rFonts w:ascii="Calibri" w:hAnsi="Calibri"/>
          <w:sz w:val="22"/>
        </w:rPr>
        <w:t>Fuel surcharges move constantly. A quote includes line items like the bunker adjustment factor (BAF), Low Sulfur Fuel Surcharge (LSF), and Emission Control Area (ECA) charges. These fees shift based on market oil prices and geographical vessel routing. IMO sulfur regulations require low-sulfur fuel in designated environmental zones. As ECA standards tighten across major trading lanes, these operational costs rise and pass straight to the shipper.</w:t>
      </w:r>
    </w:p>
    <w:p>
      <w:pPr>
        <w:spacing w:after="120" w:line="276" w:lineRule="auto"/>
      </w:pPr>
      <w:r>
        <w:rPr>
          <w:rFonts w:ascii="Calibri" w:hAnsi="Calibri"/>
          <w:sz w:val="22"/>
        </w:rPr>
        <w:t>Foreign exchange fluctuations present another variable. Carriers apply the Currency Adjustment Factor (CAF) to offset exchange rate volatility between origin and destination countries. Moving cargo from Europe to the United States when the euro strengthens against the US dollar triggers an upward adjustment in the CAF rate on your final invoice.</w:t>
      </w:r>
    </w:p>
    <w:p>
      <w:pPr>
        <w:pStyle w:val="Heading2"/>
        <w:spacing w:before="240" w:after="120"/>
      </w:pPr>
      <w:r>
        <w:rPr>
          <w:rFonts w:ascii="Calibri" w:hAnsi="Calibri"/>
          <w:b/>
          <w:color w:val="1F497D"/>
          <w:sz w:val="32"/>
        </w:rPr>
        <w:t>Port Handling and Administrative Line Items</w:t>
      </w:r>
    </w:p>
    <w:p>
      <w:pPr>
        <w:spacing w:after="120" w:line="276" w:lineRule="auto"/>
      </w:pPr>
      <w:r>
        <w:rPr>
          <w:rFonts w:ascii="Calibri" w:hAnsi="Calibri"/>
          <w:sz w:val="22"/>
        </w:rPr>
        <w:t>Port fees vary widely across international ocean terminals. Terminal Handling Charges (THC) cover container movement at arrival and departure. Differences in port infrastructure, local labor agreements, and heavy equipment availability create sharp price disparities between ports.</w:t>
      </w:r>
    </w:p>
    <w:p>
      <w:pPr>
        <w:spacing w:after="120" w:line="276" w:lineRule="auto"/>
      </w:pPr>
      <w:r>
        <w:rPr>
          <w:rFonts w:ascii="Calibri" w:hAnsi="Calibri"/>
          <w:sz w:val="22"/>
        </w:rPr>
        <w:t>Administrative paperwork carries its own price tag. Carriers charge for issuing the Bill of Lading (B/L) in both traditional paper format and digital e-form, along with cargo release documentation. These small administrative line items add up quickly across multiple shipments. Shippers can request a itemized document fee schedule upfront or manage paperwork directly using the Smart Documents tool to draft, customize, and organize documentation.</w:t>
      </w:r>
    </w:p>
    <w:p>
      <w:pPr>
        <w:spacing w:after="120" w:line="276" w:lineRule="auto"/>
      </w:pPr>
      <w:r>
        <w:rPr>
          <w:rFonts w:ascii="Calibri" w:hAnsi="Calibri"/>
          <w:sz w:val="22"/>
        </w:rPr>
        <w:t>Indirect routes introduce additional handling fees. Multimodal transit requires transshipment fees to cover transferring containers from one vessel to another at intermediate transshipment hubs.</w:t>
      </w:r>
    </w:p>
    <w:p>
      <w:pPr>
        <w:pStyle w:val="Heading2"/>
        <w:spacing w:before="240" w:after="120"/>
      </w:pPr>
      <w:r>
        <w:rPr>
          <w:rFonts w:ascii="Calibri" w:hAnsi="Calibri"/>
          <w:b/>
          <w:color w:val="1F497D"/>
          <w:sz w:val="32"/>
        </w:rPr>
        <w:t>Storage Penalties and Seasonal Spikes</w:t>
      </w:r>
    </w:p>
    <w:p>
      <w:pPr>
        <w:spacing w:after="120" w:line="276" w:lineRule="auto"/>
      </w:pPr>
      <w:r>
        <w:rPr>
          <w:rFonts w:ascii="Calibri" w:hAnsi="Calibri"/>
          <w:sz w:val="22"/>
        </w:rPr>
        <w:t>Container delay penalties rank among the fastest ways to destroy a logistics margin. Port storage charges begin the moment a container exceeds its allowed grace period at the terminal, climbing steeply for every extra day sitting on the dock.</w:t>
      </w:r>
    </w:p>
    <w:p>
      <w:pPr>
        <w:spacing w:after="120" w:line="276" w:lineRule="auto"/>
      </w:pPr>
      <w:r>
        <w:rPr>
          <w:rFonts w:ascii="Calibri" w:hAnsi="Calibri"/>
          <w:sz w:val="22"/>
        </w:rPr>
        <w:t>Demurrage and detention fees track distinct stages of container movement. Demurrage accumulates when a container remains inside the port terminal past the agreed free time. Detention accrues after the container leaves the port gates, charging you for holding equipment beyond the allotted turnaround window. Aligning haulage schedules with customs clearance procedures prevents these penalties from escalating.</w:t>
      </w:r>
    </w:p>
    <w:p>
      <w:pPr>
        <w:spacing w:after="120" w:line="276" w:lineRule="auto"/>
      </w:pPr>
      <w:r>
        <w:rPr>
          <w:rFonts w:ascii="Calibri" w:hAnsi="Calibri"/>
          <w:sz w:val="22"/>
        </w:rPr>
        <w:t>Market timing impacts pricing. Peak Season Surcharges (PSS) hit bookings during high-volume shipping windows, such as pre-holiday retail inventory builds or export surges out of East Asia.</w:t>
      </w:r>
    </w:p>
    <w:p>
      <w:pPr>
        <w:spacing w:after="120" w:line="276" w:lineRule="auto"/>
      </w:pPr>
      <w:r>
        <w:rPr>
          <w:rFonts w:ascii="Calibri" w:hAnsi="Calibri"/>
          <w:sz w:val="22"/>
        </w:rPr>
        <w:t>Non-standard cargo carries additional surcharges. Transporting oversized machinery, project cargo, refrigerated containers, or IMO-regulated dangerous goods demands specialized handling, tight monitoring, and compliance checks that drive rates higher.</w:t>
      </w:r>
    </w:p>
    <w:p>
      <w:pPr>
        <w:pStyle w:val="Heading2"/>
        <w:spacing w:before="240" w:after="120"/>
      </w:pPr>
      <w:r>
        <w:rPr>
          <w:rFonts w:ascii="Calibri" w:hAnsi="Calibri"/>
          <w:b/>
          <w:color w:val="1F497D"/>
          <w:sz w:val="32"/>
        </w:rPr>
        <w:t>Calculating Total Landed Cost and Building Buffers</w:t>
      </w:r>
    </w:p>
    <w:p>
      <w:pPr>
        <w:spacing w:after="120" w:line="276" w:lineRule="auto"/>
      </w:pPr>
      <w:r>
        <w:rPr>
          <w:rFonts w:ascii="Calibri" w:hAnsi="Calibri"/>
          <w:sz w:val="22"/>
        </w:rPr>
        <w:t>Cargo leaving the port gate enters the last-mile phase. Trucking fees, customs clearance, door-to-door transit, and destination unloading fees surface after ocean transit ends. Evaluating these final leg expenses upfront with tools like SeaRates ensures accurate accounting for your total landed cost.</w:t>
      </w:r>
    </w:p>
    <w:p>
      <w:pPr>
        <w:spacing w:after="120" w:line="276" w:lineRule="auto"/>
      </w:pPr>
      <w:r>
        <w:rPr>
          <w:rFonts w:ascii="Calibri" w:hAnsi="Calibri"/>
          <w:sz w:val="22"/>
        </w:rPr>
        <w:t>Building an effective logistics budget requires a structured approach:</w:t>
      </w:r>
    </w:p>
    <w:p>
      <w:pPr>
        <w:pStyle w:val="ListNumber"/>
        <w:spacing w:after="80"/>
      </w:pPr>
      <w:r>
        <w:rPr>
          <w:rFonts w:ascii="Calibri" w:hAnsi="Calibri"/>
          <w:sz w:val="22"/>
        </w:rPr>
        <w:t>Map every expense component. Combine base rates with BAF, CAF, THC, demurrage, and transshipment charges into a single calculation. Demand line-item breakdowns on all carrier quotes.</w:t>
      </w:r>
    </w:p>
    <w:p>
      <w:pPr>
        <w:pStyle w:val="ListNumber"/>
        <w:spacing w:after="80"/>
      </w:pPr>
      <w:r>
        <w:rPr>
          <w:rFonts w:ascii="Calibri" w:hAnsi="Calibri"/>
          <w:sz w:val="22"/>
        </w:rPr>
        <w:t>Establish a financial reserve. Reserve 5-10% of total estimated logistics expenditure for unexpected customs duties, unexpected fines, or delay penalties.</w:t>
      </w:r>
    </w:p>
    <w:p>
      <w:pPr>
        <w:pStyle w:val="ListNumber"/>
        <w:spacing w:after="80"/>
      </w:pPr>
      <w:r>
        <w:rPr>
          <w:rFonts w:ascii="Calibri" w:hAnsi="Calibri"/>
          <w:sz w:val="22"/>
        </w:rPr>
        <w:t>Conduct freight rate benchmarking using a standardized checklist. Track actual container costs over time to establish historical rate baselines for future contract negotiations.</w:t>
      </w:r>
    </w:p>
    <w:p>
      <w:pPr>
        <w:pStyle w:val="Heading2"/>
        <w:spacing w:before="240" w:after="120"/>
      </w:pPr>
      <w:r>
        <w:rPr>
          <w:rFonts w:ascii="Calibri" w:hAnsi="Calibri"/>
          <w:b/>
          <w:color w:val="1F497D"/>
          <w:sz w:val="32"/>
        </w:rPr>
        <w:t>Carrier Quotation Audit Checklist</w:t>
      </w:r>
    </w:p>
    <w:p>
      <w:pPr>
        <w:spacing w:after="120" w:line="276" w:lineRule="auto"/>
      </w:pPr>
      <w:r>
        <w:rPr>
          <w:rFonts w:ascii="Calibri" w:hAnsi="Calibri"/>
          <w:sz w:val="22"/>
        </w:rPr>
        <w:t>Review carrier quotes against these criteria before committing to a booking:</w:t>
      </w:r>
    </w:p>
    <w:p>
      <w:pPr>
        <w:spacing w:after="120" w:line="276" w:lineRule="auto"/>
      </w:pPr>
      <w:r>
        <w:rPr>
          <w:rFonts w:ascii="Calibri" w:hAnsi="Calibri"/>
          <w:sz w:val="22"/>
        </w:rPr>
        <w:t>Rate Structure</w:t>
      </w:r>
    </w:p>
    <w:p>
      <w:pPr>
        <w:pStyle w:val="ListBullet"/>
        <w:spacing w:after="80"/>
      </w:pPr>
      <w:r>
        <w:rPr>
          <w:rFonts w:ascii="Calibri" w:hAnsi="Calibri"/>
          <w:sz w:val="22"/>
        </w:rPr>
        <w:t>Does the quote state an all-in rate or cover ocean freight only?</w:t>
      </w:r>
    </w:p>
    <w:p>
      <w:pPr>
        <w:pStyle w:val="ListBullet"/>
        <w:spacing w:after="80"/>
      </w:pPr>
      <w:r>
        <w:rPr>
          <w:rFonts w:ascii="Calibri" w:hAnsi="Calibri"/>
          <w:sz w:val="22"/>
        </w:rPr>
        <w:t>Are Terminal Handling Charges (THC) explicit or billed separately?</w:t>
      </w:r>
    </w:p>
    <w:p>
      <w:pPr>
        <w:pStyle w:val="ListBullet"/>
        <w:spacing w:after="80"/>
      </w:pPr>
      <w:r>
        <w:rPr>
          <w:rFonts w:ascii="Calibri" w:hAnsi="Calibri"/>
          <w:sz w:val="22"/>
        </w:rPr>
        <w:t>Are bunker adjustment factor (BAF) and CAF adjustments included in the primary quote?</w:t>
      </w:r>
    </w:p>
    <w:p>
      <w:pPr>
        <w:spacing w:after="120" w:line="276" w:lineRule="auto"/>
      </w:pPr>
      <w:r>
        <w:rPr>
          <w:rFonts w:ascii="Calibri" w:hAnsi="Calibri"/>
          <w:sz w:val="22"/>
        </w:rPr>
        <w:t>Additional Costs</w:t>
      </w:r>
    </w:p>
    <w:p>
      <w:pPr>
        <w:pStyle w:val="ListBullet"/>
        <w:spacing w:after="80"/>
      </w:pPr>
      <w:r>
        <w:rPr>
          <w:rFonts w:ascii="Calibri" w:hAnsi="Calibri"/>
          <w:sz w:val="22"/>
        </w:rPr>
        <w:t>Are transshipment fees defined for non-direct routes?</w:t>
      </w:r>
    </w:p>
    <w:p>
      <w:pPr>
        <w:pStyle w:val="ListBullet"/>
        <w:spacing w:after="80"/>
      </w:pPr>
      <w:r>
        <w:rPr>
          <w:rFonts w:ascii="Calibri" w:hAnsi="Calibri"/>
          <w:sz w:val="22"/>
        </w:rPr>
        <w:t>What are the precise free time terms and daily rates for demurrage and detention?</w:t>
      </w:r>
    </w:p>
    <w:p>
      <w:pPr>
        <w:pStyle w:val="ListBullet"/>
        <w:spacing w:after="80"/>
      </w:pPr>
      <w:r>
        <w:rPr>
          <w:rFonts w:ascii="Calibri" w:hAnsi="Calibri"/>
          <w:sz w:val="22"/>
        </w:rPr>
        <w:t>When do port storage penalties begin, and what is the daily rate structure?</w:t>
      </w:r>
    </w:p>
    <w:p>
      <w:pPr>
        <w:spacing w:after="120" w:line="276" w:lineRule="auto"/>
      </w:pPr>
      <w:r>
        <w:rPr>
          <w:rFonts w:ascii="Calibri" w:hAnsi="Calibri"/>
          <w:sz w:val="22"/>
        </w:rPr>
        <w:t>Special Cargo Considerations</w:t>
      </w:r>
    </w:p>
    <w:p>
      <w:pPr>
        <w:pStyle w:val="ListBullet"/>
        <w:spacing w:after="80"/>
      </w:pPr>
      <w:r>
        <w:rPr>
          <w:rFonts w:ascii="Calibri" w:hAnsi="Calibri"/>
          <w:sz w:val="22"/>
        </w:rPr>
        <w:t>Is a Peak Season Surcharge (PSS) active for your shipping timeline?</w:t>
      </w:r>
    </w:p>
    <w:p>
      <w:pPr>
        <w:pStyle w:val="ListBullet"/>
        <w:spacing w:after="80"/>
      </w:pPr>
      <w:r>
        <w:rPr>
          <w:rFonts w:ascii="Calibri" w:hAnsi="Calibri"/>
          <w:sz w:val="22"/>
        </w:rPr>
        <w:t>Do extra handling fees apply for oversized, refrigerated, or IMO hazardous cargo?</w:t>
      </w:r>
    </w:p>
    <w:p>
      <w:pPr>
        <w:pStyle w:val="ListBullet"/>
        <w:spacing w:after="80"/>
      </w:pPr>
      <w:r>
        <w:rPr>
          <w:rFonts w:ascii="Calibri" w:hAnsi="Calibri"/>
          <w:sz w:val="22"/>
        </w:rPr>
        <w:t>What equipment charges apply to non-standard container dimensions?</w:t>
      </w:r>
    </w:p>
    <w:p>
      <w:pPr>
        <w:spacing w:after="120" w:line="276" w:lineRule="auto"/>
      </w:pPr>
      <w:r>
        <w:rPr>
          <w:rFonts w:ascii="Calibri" w:hAnsi="Calibri"/>
          <w:sz w:val="22"/>
        </w:rPr>
        <w:t>Schedule and Last-Mile Terms</w:t>
      </w:r>
    </w:p>
    <w:p>
      <w:pPr>
        <w:pStyle w:val="ListBullet"/>
        <w:spacing w:after="80"/>
      </w:pPr>
      <w:r>
        <w:rPr>
          <w:rFonts w:ascii="Calibri" w:hAnsi="Calibri"/>
          <w:sz w:val="22"/>
        </w:rPr>
        <w:t>How many days of free time apply at origin and destination ports?</w:t>
      </w:r>
    </w:p>
    <w:p>
      <w:pPr>
        <w:pStyle w:val="ListBullet"/>
        <w:spacing w:after="80"/>
      </w:pPr>
      <w:r>
        <w:rPr>
          <w:rFonts w:ascii="Calibri" w:hAnsi="Calibri"/>
          <w:sz w:val="22"/>
        </w:rPr>
        <w:t>What policies apply when vessel delays disrupt your pickup window?</w:t>
      </w:r>
    </w:p>
    <w:p>
      <w:pPr>
        <w:pStyle w:val="ListBullet"/>
        <w:spacing w:after="80"/>
      </w:pPr>
      <w:r>
        <w:rPr>
          <w:rFonts w:ascii="Calibri" w:hAnsi="Calibri"/>
          <w:sz w:val="22"/>
        </w:rPr>
        <w:t>Are trucking, customs clearance, and final door-to-door delivery included in the quote?</w:t>
      </w:r>
    </w:p>
    <w:p>
      <w:pPr>
        <w:spacing w:after="120" w:line="276" w:lineRule="auto"/>
      </w:pPr>
      <w:r>
        <w:rPr>
          <w:rFonts w:ascii="Calibri" w:hAnsi="Calibri"/>
          <w:sz w:val="22"/>
        </w:rPr>
        <w:t>Quote Clarity</w:t>
      </w:r>
    </w:p>
    <w:p>
      <w:pPr>
        <w:pStyle w:val="ListBullet"/>
        <w:spacing w:after="80"/>
      </w:pPr>
      <w:r>
        <w:rPr>
          <w:rFonts w:ascii="Calibri" w:hAnsi="Calibri"/>
          <w:sz w:val="22"/>
        </w:rPr>
        <w:t>Are all fee categories itemized without vague lump-sum items?</w:t>
      </w:r>
    </w:p>
    <w:p>
      <w:pPr>
        <w:pStyle w:val="ListBullet"/>
        <w:spacing w:after="80"/>
      </w:pPr>
      <w:r>
        <w:rPr>
          <w:rFonts w:ascii="Calibri" w:hAnsi="Calibri"/>
          <w:sz w:val="22"/>
        </w:rPr>
        <w:t>What is the validity expiration date of the quote?</w:t>
      </w:r>
    </w:p>
    <w:p>
      <w:pPr>
        <w:pStyle w:val="ListBullet"/>
        <w:spacing w:after="80"/>
      </w:pPr>
      <w:r>
        <w:rPr>
          <w:rFonts w:ascii="Calibri" w:hAnsi="Calibri"/>
          <w:sz w:val="22"/>
        </w:rPr>
        <w:t>What market events trigger mid-quote price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