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Calculating and Avoiding Hidden LCL Shipping Costs</w:t>
      </w:r>
    </w:p>
    <w:p>
      <w:r>
        <w:rPr>
          <w:i/>
          <w:color w:val="646464"/>
          <w:sz w:val="18"/>
        </w:rPr>
        <w:t>Meta Title: Guide to Hidden LCL Shipping Fees and Charges</w:t>
        <w:br/>
      </w:r>
      <w:r>
        <w:rPr>
          <w:i/>
          <w:color w:val="646464"/>
          <w:sz w:val="18"/>
        </w:rPr>
        <w:t>Meta Description: Learn how to estimate LCL freight expenses, prevent unexpected fees, and protect your budget with practical contract advice.</w:t>
      </w:r>
    </w:p>
    <w:p/>
    <w:p>
      <w:r>
        <w:t>Shipping freight with less than container load (LCL) services offers flexibility, yet unquoted expenses often disrupt logistics budgets. Shippers expecting steady supply chain steps frequently face unexpected fees when transshipment handlings pile up. Understanding how these extra fees accumulate allows you to protect your finances before cargo leaves the dock.</w:t>
      </w:r>
    </w:p>
    <w:p>
      <w:pPr>
        <w:pStyle w:val="Heading2"/>
      </w:pPr>
      <w:r>
        <w:t>Understanding LCL and FCL Mechanics</w:t>
      </w:r>
    </w:p>
    <w:p>
      <w:r>
        <w:t>When choosing how to transport goods, shippers select between Less than Container Load (LCL) and Full Container Load (FCL). Under LCL arrangements, your shipment shares container space with goods from other companies, paying exclusively based on the volume or weight your goods consume. In LCL logistics, freight forwarders consolidate multiple shipments into a single ocean container at origin, manage shared transport across trade routes, and deconsolidate items at destination ports for individual delivery.</w:t>
      </w:r>
    </w:p>
    <w:p>
      <w:r>
        <w:t>FCL involves booking a complete container for your goods regardless of actual fill level. Booking an entire box provides straightforward logistics for large shipments that fill or nearly fill a container. Shippers with smaller volumes or lower upfront budgets find LCL a practical alternative. Every extra transshipment point and cargo handling stage in LCL increases the likelihood of unannounced expenses.</w:t>
      </w:r>
    </w:p>
    <w:p>
      <w:pPr>
        <w:pStyle w:val="Heading2"/>
      </w:pPr>
      <w:r>
        <w:t>Breaking Down Hidden LCL Charges</w:t>
      </w:r>
    </w:p>
    <w:p>
      <w:r>
        <w:t>Planning an accurate freight budget requires identifying where non-transparent fees originate across the transit line. Several operational stages incur unquoted costs:</w:t>
      </w:r>
    </w:p>
    <w:p>
      <w:pPr>
        <w:pStyle w:val="ListBullet"/>
      </w:pPr>
      <w:r>
        <w:rPr>
          <w:b/>
        </w:rPr>
        <w:t>LCL consolidation charges:</w:t>
      </w:r>
      <w:r>
        <w:t xml:space="preserve"> Initial extra costs stem from gathering, sorting, and packing goods from multiple shippers into one container. These fees vary by carrier and by departure or arrival ports, making contract confirmation essential before booking.</w:t>
      </w:r>
    </w:p>
    <w:p>
      <w:pPr>
        <w:pStyle w:val="ListBullet"/>
      </w:pPr>
      <w:r>
        <w:rPr>
          <w:b/>
        </w:rPr>
        <w:t>Volumetric weight calculation:</w:t>
      </w:r>
      <w:r>
        <w:t xml:space="preserve"> Carriers evaluate both actual physical weight and cargo dimensions, billing whichever figure is larger. Light but bulky freight incurs volumetric surcharges. The standard volumetric weight calculation multiplies length, width, and height, dividing the result by 1000 for sea freight or 6000 for air freight. Carrier divisors vary, so verifying limits and confirming that bills of lading record exact volumetric or actual weights prevents unexpected billing.</w:t>
      </w:r>
    </w:p>
    <w:p>
      <w:pPr>
        <w:pStyle w:val="ListBullet"/>
      </w:pPr>
      <w:r>
        <w:rPr>
          <w:b/>
        </w:rPr>
        <w:t>Operational charges:</w:t>
      </w:r>
      <w:r>
        <w:t xml:space="preserve"> Local cartage to or from ports along with loading and unloading services generate distinct operational line items.</w:t>
      </w:r>
    </w:p>
    <w:p>
      <w:pPr>
        <w:pStyle w:val="ListBullet"/>
      </w:pPr>
      <w:r>
        <w:rPr>
          <w:b/>
        </w:rPr>
        <w:t>Documentation fees:</w:t>
      </w:r>
      <w:r>
        <w:t xml:space="preserve"> Incorrect descriptions, measurements, or quantities trigger administrative correction fees. Missing customs documentation leads to regulatory fines, and specific goods may require paid phytosanitary control and phytosanitary certification.</w:t>
      </w:r>
    </w:p>
    <w:p>
      <w:pPr>
        <w:pStyle w:val="ListBullet"/>
      </w:pPr>
      <w:r>
        <w:rPr>
          <w:b/>
        </w:rPr>
        <w:t>Demurrage and detention fees:</w:t>
      </w:r>
      <w:r>
        <w:t xml:space="preserve"> Transport stage interruptions or paperwork delays quickly incur penalties. Demurrage charges accumulate when cargo stays at the terminal beyond allowable free time. Detention fees apply to each extra day goods remain in a warehouse beyond the agreed window. Confirming free storage periods at origin and destination ports alongside early paperwork preparation minimizes downtime cost.</w:t>
      </w:r>
    </w:p>
    <w:p>
      <w:pPr>
        <w:pStyle w:val="ListBullet"/>
      </w:pPr>
      <w:r>
        <w:rPr>
          <w:b/>
        </w:rPr>
        <w:t>Terminal handling charge (THC) and port fees:</w:t>
      </w:r>
      <w:r>
        <w:t xml:space="preserve"> Terminal operators assess a terminal handling charge (THC), port security fees for container movement, and paperwork processing fees. Because LCL freight requires individual processing for each consignment inside the container rather than a single container sweep, handling takes longer and increases fee totals.</w:t>
      </w:r>
    </w:p>
    <w:p>
      <w:pPr>
        <w:pStyle w:val="ListBullet"/>
      </w:pPr>
      <w:r>
        <w:rPr>
          <w:b/>
        </w:rPr>
        <w:t>Hazardous materials fees:</w:t>
      </w:r>
      <w:r>
        <w:t xml:space="preserve"> Mixed cargo containers undergo strict security oversight. High-risk goods require specialized equipment, extra safety protocols, and official certification that add to baseline rates.</w:t>
      </w:r>
    </w:p>
    <w:p>
      <w:pPr>
        <w:pStyle w:val="ListBullet"/>
      </w:pPr>
      <w:r>
        <w:rPr>
          <w:b/>
        </w:rPr>
        <w:t>Currency fluctuations:</w:t>
      </w:r>
      <w:r>
        <w:t xml:space="preserve"> International shipping routes remain vulnerable to exchange rate shifts. Calculating currency movements into initial budget estimates and fixing exchange terms in carrier agreements reduces financial exposure.</w:t>
      </w:r>
    </w:p>
    <w:p>
      <w:pPr>
        <w:pStyle w:val="Heading2"/>
      </w:pPr>
      <w:r>
        <w:t>Evaluating LCL Versus FCL Options</w:t>
      </w:r>
    </w:p>
    <w:p>
      <w:r>
        <w:t>Higher occurrence of extra charges in LCL stems directly from complex multi-party handling operations. FCL operates under a single agreement for a whole container, keeping costs simple and transparent.</w:t>
      </w:r>
    </w:p>
    <w:p>
      <w:r>
        <w:t>Opt for LCL if your shipment volume is small, if you need fast dispatch with low initial costs, or if your operations require small-batch flexibility. Choosing FCL makes sense when cargo is sufficient to fill an entire container, when fragile items demand minimal handling risk, or when predictable pricing transparency remains your top priority.</w:t>
      </w:r>
    </w:p>
    <w:p>
      <w:pPr>
        <w:pStyle w:val="Heading2"/>
      </w:pPr>
      <w:r>
        <w:t>Proactive Steps to Prevent Unexpected Expenses</w:t>
      </w:r>
    </w:p>
    <w:p>
      <w:r>
        <w:t>Unseen factors can suddenly shift your transportation budget. Shippers can stay ahead of surprises by focusing on three areas:</w:t>
      </w:r>
    </w:p>
    <w:p>
      <w:r>
        <w:t xml:space="preserve">1. </w:t>
      </w:r>
      <w:r>
        <w:rPr>
          <w:b/>
        </w:rPr>
        <w:t>Rate verification:</w:t>
      </w:r>
      <w:r>
        <w:t xml:space="preserve"> Track current market rates for your trade lanes by comparing multiple quotes from established carriers across varied terms.</w:t>
      </w:r>
    </w:p>
    <w:p>
      <w:r>
        <w:t xml:space="preserve">2. </w:t>
      </w:r>
      <w:r>
        <w:rPr>
          <w:b/>
        </w:rPr>
        <w:t>Cargo specifics:</w:t>
      </w:r>
      <w:r>
        <w:t xml:space="preserve"> Consult logistics specialists to clarify cargo dimensions, special handling requirements, and seasonal storage parameters before booking.</w:t>
      </w:r>
    </w:p>
    <w:p>
      <w:r>
        <w:t xml:space="preserve">3. </w:t>
      </w:r>
      <w:r>
        <w:rPr>
          <w:b/>
        </w:rPr>
        <w:t>Route visibility:</w:t>
      </w:r>
      <w:r>
        <w:t xml:space="preserve"> Demand direct, minute-by-minute tracking capabilities without third-party intermediaries to monitor cargo locations and immediate next steps.</w:t>
      </w:r>
    </w:p>
    <w:p>
      <w:pPr>
        <w:pStyle w:val="Heading2"/>
      </w:pPr>
      <w:r>
        <w:t>Essential LCL Contract Clauses</w:t>
      </w:r>
    </w:p>
    <w:p>
      <w:r>
        <w:t>Structuring explicit LCL contract clauses protects shippers from unannounced charges and establishes clear legal boundaries. A comprehensive carrier agreement should incorporate these key sections:</w:t>
      </w:r>
    </w:p>
    <w:p>
      <w:r>
        <w:t>#### 1. Cargo Description</w:t>
      </w:r>
    </w:p>
    <w:p>
      <w:r>
        <w:t>Contracts must detail cargo categories, total weight, total volume, exact dimensions, protective packaging, and special characteristics like hazardous, refrigerated, or fragile status.</w:t>
      </w:r>
    </w:p>
    <w:p>
      <w:r>
        <w:t>*Sample clause:* "The Client is required to supply a comprehensive description of the goods. The Transporter must guarantee suitable handling and transit parameters aligned with the provided details."</w:t>
      </w:r>
    </w:p>
    <w:p>
      <w:r>
        <w:t>#### 2. Tariffs and Operational Fees</w:t>
      </w:r>
    </w:p>
    <w:p>
      <w:r>
        <w:t>Specify basic freight rates per cubic meter or kilogram, operational charges for packing, repacking, consolidation, and warehouse sorting, customs clearance fees including brokerage and certification, and port fees via an attached price list. Warehousing costs should outline free storage windows (e.g., 3 days) and subsequent daily rates per m³/day.</w:t>
      </w:r>
    </w:p>
    <w:p>
      <w:r>
        <w:t>*Sample clause:* "Base freight pricing is set at USD 50 per m³, with extra handling fees of USD 250 for packing and consolidation services. Complimentary warehouse storage covers 3 calendar days, after which holding charges of USD 170 per m³ daily apply."</w:t>
      </w:r>
    </w:p>
    <w:p>
      <w:r>
        <w:t>#### 3. Allocation of Responsibilities and Insurance</w:t>
      </w:r>
    </w:p>
    <w:p>
      <w:r>
        <w:t>Define customer obligations regarding accurate cargo data alongside formal insurance coverage parameters.</w:t>
      </w:r>
    </w:p>
    <w:p>
      <w:r>
        <w:t>*Sample clause:* "Except in events of force majeure, the Transporter maintains accountability for freight security throughout transit and storage. Maximum carrier liability remains capped at USD 500 per cubic meter or USD 500 per kilogram of freight, selecting whichever figure is greater. Liability boundaries conform to governing international conventions unless modified by written agreement. The Client should secure supplemental insurance coverage for risks exceeding carrier liability thresholds."</w:t>
      </w:r>
    </w:p>
    <w:p>
      <w:r>
        <w:t>#### 4. Documentation Requirements</w:t>
      </w:r>
    </w:p>
    <w:p>
      <w:r>
        <w:t>List necessary paperwork such as commercial invoices, packing lists, certificates, and permits, setting explicit submission deadlines (e.g., at least 5 business days prior to departure).</w:t>
      </w:r>
    </w:p>
    <w:p>
      <w:r>
        <w:t>*Sample clause:* "The Client must submit every document necessary for customs processing at least 5 business days prior to shipment departure. The Transporter bears no liability for schedule disruptions caused by inaccurate or missing documentation."</w:t>
      </w:r>
    </w:p>
    <w:p>
      <w:r>
        <w:t>#### 5. Warehouse Storage and Downtime</w:t>
      </w:r>
    </w:p>
    <w:p>
      <w:r>
        <w:t>Establish maximum free storage periods at warehouses or ports, penalty rates for extended storage, and mandatory delay notification timelines.</w:t>
      </w:r>
    </w:p>
    <w:p>
      <w:r>
        <w:t>*Sample clause:* "Warehouse storage remains complimentary for 5 calendar days. Following 5 days of free holding, storage fees run USD 200 per m³ daily. Should delays occur, the Transporter must inform the Client minimum 48 hours in advance."</w:t>
      </w:r>
    </w:p>
    <w:p>
      <w:r>
        <w:t>#### 6. Delivery Schedules and Compensation</w:t>
      </w:r>
    </w:p>
    <w:p>
      <w:r>
        <w:t>Outline estimated transit times, delay notification protocols, and financial penalties for late arrival.</w:t>
      </w:r>
    </w:p>
    <w:p>
      <w:r>
        <w:t>*Sample clause:* "Anticipated delivery duration is 15 days starting from freight acceptance. In the event of potential delays, the Transporter shall issue written notice to the Client at least 48 hours prior to occurrence. Late delivery liability requires the carrier to pay compensation equal to 30% of transport costs per delayed calendar day."</w:t>
      </w:r>
    </w:p>
    <w:p>
      <w:r>
        <w:t>#### 7. Payment Terms and Adjustments</w:t>
      </w:r>
    </w:p>
    <w:p>
      <w:r>
        <w:t>Detail payment structure, schedule split (such as 50% advance and 50% upon receipt), rate revision conditions, and fee settlement for extra services.</w:t>
      </w:r>
    </w:p>
    <w:p>
      <w:r>
        <w:t>*Sample clause:* "Financial settlements follow a two-part schedule: 50% prepayment due at least 7 days prior to shipment departure, with the remainder payable within 5 working days following cargo delivery. Rate modifications remain subject to mutual agreement with the Client."</w:t>
      </w:r>
    </w:p>
    <w:p>
      <w:r>
        <w:t>#### 8. Force Majeure Provisions</w:t>
      </w:r>
    </w:p>
    <w:p>
      <w:r>
        <w:t>Define qualifying events such as natural disasters, war, strikes, or pandemics, establishing written notification timelines (e.g., within 3 days) and liability relief.</w:t>
      </w:r>
    </w:p>
    <w:p>
      <w:r>
        <w:t>*Sample clause:* "Both contracting parties are relieved of liability for non-performance or improper fulfillment of duties during force majeure events, provided written confirmation is issued and delivered to the other party within 3 days."</w:t>
      </w:r>
    </w:p>
    <w:p>
      <w:r>
        <w:t>#### 9. Dispute Resolution Framework</w:t>
      </w:r>
    </w:p>
    <w:p>
      <w:r>
        <w:t>Specify governing jurisdiction, arbitration courts, and mandatory pre-trial negotiation steps.</w:t>
      </w:r>
    </w:p>
    <w:p>
      <w:r>
        <w:t>*Sample clause:* "Any disagreements or claims stemming from this contract shall first be settled through direct negotiations between both parties. Should negotiation fail to achieve resolution, the involved parties will refer the matter to arbitration in the venue where the Transporter holds legal registration."</w:t>
      </w:r>
    </w:p>
    <w:p>
      <w:pPr>
        <w:pStyle w:val="Heading2"/>
      </w:pPr>
      <w:r>
        <w:t>Practical Management Recommendations</w:t>
      </w:r>
    </w:p>
    <w:p>
      <w:r>
        <w:t>Shippers can further streamline LCL operations by comparing multiple carrier offers, confirming consolidation and port fees in advance, and requesting door-to-door services to minimize intermediary handoffs. Monitoring shipment status regularly, selecting carriers experienced in groupage, reviewing insurance terms, and updating contract terms periodically safeguard your supply chain.</w:t>
      </w:r>
    </w:p>
    <w:p>
      <w:r>
        <w:t>Modern logistics management tools enable shippers to access real-time tariffs across ocean, air, trucking, and rail transport, compare flexible carrier options, and secure instant bookings for pricing and space guarantees. For tailored LCL solutions designed to eliminate unexpected costs, reach out to sales@searates.com.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