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Hidden Shipyard Risks That Freeze Supply Chains</w:t>
      </w:r>
    </w:p>
    <w:p>
      <w:r>
        <w:rPr>
          <w:i/>
          <w:sz w:val="18"/>
        </w:rPr>
        <w:t>Meta Title: Hidden Shipyard Risks That Freeze Supply Chains</w:t>
        <w:br/>
      </w:r>
      <w:r>
        <w:rPr>
          <w:i/>
          <w:sz w:val="18"/>
        </w:rPr>
        <w:t>Meta Description: Maintenance safety failures at the dock trigger vessel detention and rising costs. Learn how OSHA maritime safety compliance protects cargo schedules.</w:t>
        <w:br/>
      </w:r>
    </w:p>
    <w:p>
      <w:pPr>
        <w:pStyle w:val="Heading2"/>
      </w:pPr>
      <w:r>
        <w:t>Dockside Operations Can Grind Deliveries to a Halt</w:t>
      </w:r>
    </w:p>
    <w:p>
      <w:r>
        <w:t>Logistics managers frequently depend on SeaRates technology and software tools to benchmark ocean freight rates and map optimal transit routes. A major threat to your delivery timeline sits directly at the berth during routine vessel maintenance.</w:t>
      </w:r>
    </w:p>
    <w:p>
      <w:r>
        <w:t>When a maintenance crew ignores basic safety protocols, regulatory authorities step in. Work freezes instantly, initiating an investigation that leaves the vessel stranded along with every container loaded on board. Hours spent securing competitive freight rates disappear when a single safety breach grounds the ship.</w:t>
      </w:r>
    </w:p>
    <w:p>
      <w:pPr>
        <w:pStyle w:val="Heading2"/>
      </w:pPr>
      <w:r>
        <w:t>Stacking Financial Losses During Unplanned Downtime</w:t>
      </w:r>
    </w:p>
    <w:p>
      <w:r>
        <w:t>An immobilized vessel accrues heavy expenses every hour it sits idle. Fuel consumption, crew payroll, and port charges accumulate continuously. For larger commercial vessels, basic daily operating costs frequently reach tens of thousands of dollars, climbing even higher depending on vessel dimensions and current fuel prices.</w:t>
      </w:r>
    </w:p>
    <w:p>
      <w:r>
        <w:t>Extended downtime compounds these daily operating fees, swelling the overall financial burden of the voyage. Cargo owners and forwarders are left managing secondary logistical disruptions while the ship sits pinned to the quay.</w:t>
      </w:r>
    </w:p>
    <w:p>
      <w:pPr>
        <w:pStyle w:val="Heading2"/>
      </w:pPr>
      <w:r>
        <w:t>Preventable Maintenance Violations Under OSHA 29 CFR 1915</w:t>
      </w:r>
    </w:p>
    <w:p>
      <w:r>
        <w:t>Most shipyard accidents stem from simple procedural omissions rather than unpredictable equipment failures. Two specific regulations under OSHA 29 CFR 1915 account for a significant portion of these operational shut-downs:</w:t>
      </w:r>
    </w:p>
    <w:p>
      <w:pPr>
        <w:pStyle w:val="Heading3"/>
      </w:pPr>
      <w:r>
        <w:t>Confined Space Entry (1915.12)</w:t>
      </w:r>
    </w:p>
    <w:p>
      <w:r>
        <w:t>Enclosed compartments like fuel tanks accumulate hazardous gases. Technicians must test atmospheric quality with calibrated meters before any worker enters the space. Skipping atmospheric testing invites severe injury, triggering an immediate regulatory freeze on all vessel activities while federal inspectors conduct a full investigation.</w:t>
      </w:r>
    </w:p>
    <w:p>
      <w:pPr>
        <w:pStyle w:val="Heading3"/>
      </w:pPr>
      <w:r>
        <w:t>Control of Hazardous Energy (1915.89)</w:t>
      </w:r>
    </w:p>
    <w:p>
      <w:r>
        <w:t>Standard lockout-tagout procedures demand that machinery be physically locked and isolated from all power sources before mechanics begin repairs. Violating lockout-tagout protocols risks accidental equipment startup, causing equipment destruction or severe personal injury. Any major infraction prompts an immediate halt to ship maintenance until investigators clear the vessel to resume operations.</w:t>
      </w:r>
    </w:p>
    <w:p>
      <w:pPr>
        <w:pStyle w:val="Heading2"/>
      </w:pPr>
      <w:r>
        <w:t>How Supply Chain Delays Spill Across the Market</w:t>
      </w:r>
    </w:p>
    <w:p>
      <w:r>
        <w:t>The financial damage caused by a port delay moves far beyond the vessel owner.</w:t>
      </w:r>
    </w:p>
    <w:p>
      <w:r>
        <w:t>Shipowners and carriers incur initial losses directly through downtime expenses and emergency repair bills. Logistics companies and freight forwarders deal with the immediate aftermath, handling schedule restructuring and fielding complaints from frustrated cargo owners. Shippers and manufacturers face the end impact through stalled assembly lines and empty store shelves when components fail to arrive.</w:t>
      </w:r>
    </w:p>
    <w:p>
      <w:r>
        <w:t>Procurement and supply chain risk management teams need clear visibility into carrier operations long before cargo is loaded. Protecting delivery schedules requires vetting carrier track records prior to signing freight contracts.</w:t>
      </w:r>
    </w:p>
    <w:p>
      <w:pPr>
        <w:pStyle w:val="Heading2"/>
      </w:pPr>
      <w:r>
        <w:t>Building Reliability Through Verified Compliance</w:t>
      </w:r>
    </w:p>
    <w:p>
      <w:r>
        <w:t>Partnering with carriers that demonstrate documented safety compliance protects your freight from expensive operational disruptions. A documented safety record reflects genuine operational discipline and overall reliability.</w:t>
      </w:r>
    </w:p>
    <w:p>
      <w:r>
        <w:t>Carriers that maintain verifiable training programs and low incident rates actively mitigate the hazards that cause severe scheduling delays. Evaluating safety performance must become a standard part of carrier selection. Freight buyers should request official safety records, examine past OSHA compliance histories, and verify that crew members complete certified OSHA Maritime training courses. Integrating shipyard safety audits into vendor screening ensures your shipments remain on schedule.</w:t>
      </w:r>
    </w:p>
    <w:p>
      <w:r>
        <w:t>To explore more opportunities, contact SeaRates based on your specific interest category.</w:t>
      </w:r>
    </w:p>
    <w:p>
      <w:r>
        <w:t>Author: Sam Davis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