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40"/>
        </w:rPr>
        <w:t>How Shipping Lines Improve Digital Compliance</w:t>
      </w:r>
    </w:p>
    <w:p>
      <w:r>
        <w:rPr>
          <w:rFonts w:ascii="Arial" w:hAnsi="Arial"/>
          <w:i/>
          <w:sz w:val="18"/>
        </w:rPr>
        <w:t>Meta-Title: Improving Digital Compliance in Maritime Shipping</w:t>
        <w:br/>
      </w:r>
      <w:r>
        <w:rPr>
          <w:rFonts w:ascii="Arial" w:hAnsi="Arial"/>
          <w:i/>
          <w:sz w:val="18"/>
        </w:rPr>
        <w:t>Meta-Description: Discover how shipping companies manage sanctions screening, GLBA and GDPR data protection, automated KYC, emission tracking, and cyber risk.</w:t>
      </w:r>
    </w:p>
    <w:p>
      <w:r>
        <w:rPr>
          <w:rFonts w:ascii="Arial" w:hAnsi="Arial"/>
          <w:sz w:val="22"/>
        </w:rPr>
        <w:t>Maritime transport involves coordinating licensed drivers, onboard staff, dispatch offices, and customer support desks across dozens of international jurisdictions. Every shipment generates operational records that must satisfy regional laws, environmental codes, and strict privacy rules.</w:t>
      </w:r>
    </w:p>
    <w:p>
      <w:r>
        <w:rPr>
          <w:rFonts w:ascii="Arial" w:hAnsi="Arial"/>
          <w:sz w:val="22"/>
        </w:rPr>
        <w:t>Manual onboarding remains a massive friction point for logistics providers. Staff regularly spend hours scanning paper documents, running search engine checks, and comparing partner names against published watchlists by hand. These manual checks invite costly human error. Using automated KYC software changes that workflow. Digital platforms verify client and supplier identities against official databases in real time, check for politically exposed persons under anti-money laundering mandates, and monitor ownership status changes so companies can terminate risky contracts without delay.</w:t>
      </w:r>
    </w:p>
    <w:p>
      <w:r>
        <w:rPr>
          <w:rFonts w:ascii="Arial" w:hAnsi="Arial"/>
          <w:sz w:val="22"/>
        </w:rPr>
        <w:t>Export control failures happen when companies rely on superficial screening methods. That leads to transporting embargoed goods or taking orders from blacklisted entities. UN, European Union, United States, and OFAC sanctions screening tools fix this by embedding directly into booking platforms and cargo documentation workflows, flagging restricted ports and prohibited goods before vessels leave port.</w:t>
      </w:r>
    </w:p>
    <w:p>
      <w:r>
        <w:rPr>
          <w:rFonts w:ascii="Arial" w:hAnsi="Arial"/>
          <w:sz w:val="22"/>
        </w:rPr>
        <w:t>Modern ships rely on connected navigation, billing, and communication hardware, which expands the attack surface for hackers. Unpatched software on onboard equipment or central servers allows unauthorized backdoor access, triggering operational blackouts, ransomware demands, and regulatory data breaches. Maintaining maritime cybersecurity requires updated hardware, clean code quality to close vulnerabilities, and regular phishing training for employees. Leaked customer records trigger enforcement under privacy frameworks including PIPEDA, CCPA, and GDPR.</w:t>
      </w:r>
    </w:p>
    <w:p>
      <w:r>
        <w:rPr>
          <w:rFonts w:ascii="Arial" w:hAnsi="Arial"/>
          <w:sz w:val="22"/>
        </w:rPr>
        <w:t>Data handling brings its own legal obligations. Shipping lines acting as data custodians fall under financial statutes like GLBA and GDPR data protection rules. These regulations require businesses to reveal their data sharing practices and grant customers explicit opt-out rights regarding third-party transfers. Individuals whose personal data circulates on data broker sites can also use specialized data removal services to minimize exposure.</w:t>
      </w:r>
    </w:p>
    <w:p>
      <w:r>
        <w:rPr>
          <w:rFonts w:ascii="Arial" w:hAnsi="Arial"/>
          <w:sz w:val="22"/>
        </w:rPr>
        <w:t>Audit-ready recordkeeping keeps operations compliant during official inspections. Regulatory bodies expect complete logs covering transactions, message histories, and vessel inspections across every department. Documents require digital timestamps to trace problems back to their source if disputes occur. File format flexibility matters here, using file conversion tools for various document formats ensures records can be stored appropriately according to their administrative purpose. Clear schedules defining how long to hold or delete specific records lower the risk of regulatory fines and speed up audit responses.</w:t>
      </w:r>
    </w:p>
    <w:p>
      <w:r>
        <w:rPr>
          <w:rFonts w:ascii="Arial" w:hAnsi="Arial"/>
          <w:sz w:val="22"/>
        </w:rPr>
        <w:t>Environmental monitoring presents another operational demand. Regulators enforce standards including MARPOL alongside IMO EEXI and CII emission monitoring. Dedicated tracking software records fuel consumption, total distance, and overall voyage efficiency, while artificial intelligence optimizes vessel routing to cut carbon emissions. Complying with these standards grants access to port green lanes, elevates corporate ESG scores, and satisfies commercial clients who seek low-emission transport.</w:t>
      </w:r>
    </w:p>
    <w:p>
      <w:r>
        <w:rPr>
          <w:rFonts w:ascii="Arial" w:hAnsi="Arial"/>
          <w:sz w:val="22"/>
        </w:rPr>
        <w:t>While hiring environmental attorneys, data compliance officers, and security analysts requires capital, the cost stays far below the financial penalties and reputational fallout of non-compliance. Maintaining clean legal records builds lasting trust with global charterers.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