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Use SeaRates Freight Index for Market Analytics</w:t>
      </w:r>
    </w:p>
    <w:p>
      <w:r>
        <w:rPr>
          <w:i/>
          <w:color w:val="646464"/>
          <w:sz w:val="18"/>
        </w:rPr>
        <w:t>Meta Title: SeaRates Freight Index Guide: Real-Time Logistics Data</w:t>
      </w:r>
    </w:p>
    <w:p>
      <w:r>
        <w:rPr>
          <w:i/>
          <w:color w:val="646464"/>
          <w:sz w:val="18"/>
        </w:rPr>
        <w:t>Meta Description: Track sea, land, rail, and air freight index shifts with SeaRates analytics. Compare historical trends, carrier pricing, and custom rate data.</w:t>
      </w:r>
    </w:p>
    <w:p/>
    <w:p>
      <w:pPr>
        <w:spacing w:after="160" w:line="276" w:lineRule="auto"/>
      </w:pPr>
      <w:r>
        <w:t>The SeaRates Freight Index gives cargo owners, freight forwarders, and logistics analysts real-time visibility into global shipping rate movements. Built on a database containing over 10 million tariffs from the prior five years, the platform tracks 70 million price points across more than one billion routes with a 99.99% rate forecasting accuracy. Users can evaluate market conditions across four primary transport modes and their respective equipment types: ocean shipping (FCL, LCL, and Bulk), road transport (FTL, FCL, and LTL), rail transport (FWL, LWL, FCL, and FTL), and air freight (standard cargo and ULD containers).</w:t>
      </w:r>
    </w:p>
    <w:p>
      <w:pPr>
        <w:spacing w:after="160" w:line="276" w:lineRule="auto"/>
      </w:pPr>
      <w:r>
        <w:t>To evaluate current market conditions, users can examine Trending indexes to inspect average spot rates along high-volume shipping corridors. Specific trade lanes are set by choosing origin and destination locations through the interactive map, which uses SeaRates Autocomplete for location selection. The tool displays price movements as increased, decreased, or flat rates for chosen origin-destination pairs or individual geographic locations.</w:t>
      </w:r>
    </w:p>
    <w:p>
      <w:pPr>
        <w:spacing w:after="160" w:line="276" w:lineRule="auto"/>
      </w:pPr>
      <w:r>
        <w:t>The Freight Index operates under two service tiers, Default and Premium.</w:t>
      </w:r>
    </w:p>
    <w:p>
      <w:pPr>
        <w:pStyle w:val="Heading2"/>
      </w:pPr>
      <w:r>
        <w:t>Default Tier Capabilities</w:t>
      </w:r>
    </w:p>
    <w:p>
      <w:pPr>
        <w:spacing w:after="160" w:line="276" w:lineRule="auto"/>
      </w:pPr>
      <w:r>
        <w:t>The Default plan provides rate index data across four broad geographic levels: Area, Continent, Subregion, and Coast. Users on this tier can analyze price trends covering the preceding three months and distribute findings to clients, colleagues, or online audiences to support routine reporting.</w:t>
      </w:r>
    </w:p>
    <w:p>
      <w:pPr>
        <w:pStyle w:val="Heading2"/>
      </w:pPr>
      <w:r>
        <w:t>Premium Tier Capabilities</w:t>
      </w:r>
    </w:p>
    <w:p>
      <w:pPr>
        <w:spacing w:after="160" w:line="276" w:lineRule="auto"/>
      </w:pPr>
      <w:r>
        <w:t>The Premium plan expands geographic granularity to eight levels, adding Country, State, Province, and Point (City, Port, Airport, Station). Users can evaluate carrier-specific statistics or select All carriers when no shipping line is specified. Premium features include historical rate lookbacks spanning six months, one year, specific single dates, or custom calendar windows. The tier also enables multi-period comparisons across weeks, months, and years, custom currency selections, automated index change notifications, and raw data file downloads.</w:t>
      </w:r>
    </w:p>
    <w:p>
      <w:pPr>
        <w:pStyle w:val="Heading2"/>
      </w:pPr>
      <w:r>
        <w:t>Integration Options</w:t>
      </w:r>
    </w:p>
    <w:p>
      <w:pPr>
        <w:spacing w:after="160" w:line="276" w:lineRule="auto"/>
      </w:pPr>
      <w:r>
        <w:t>Companies seeking to offer market analytics on their own web platforms can implement white-label integration. This custom web deployment allows firms to provide branded benchmarking tools to visitors, reducing reliance on third-party market resources.</w:t>
      </w:r>
    </w:p>
    <w:p>
      <w:pPr>
        <w:spacing w:after="160" w:line="276" w:lineRule="auto"/>
      </w:pPr>
      <w:r>
        <w:t>For deeper operational integration, the Freight Index API links Premium functionality directly into internal CRM, ERP, and TMS platforms. Technical specifications and endpoints are documented in the SeaRates Developer Portal.</w:t>
      </w:r>
    </w:p>
    <w:p>
      <w:pPr>
        <w:spacing w:after="160" w:line="276" w:lineRule="auto"/>
      </w:pPr>
      <w:r>
        <w:t>To receive a tailored solution, submit an IT quote request or contact sales directly.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