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Lockout Tagout Compliance for Multinational Fleet Safety</w:t>
      </w:r>
    </w:p>
    <w:p>
      <w:r>
        <w:rPr>
          <w:rFonts w:ascii="Arial" w:hAnsi="Arial"/>
          <w:i/>
          <w:color w:val="4B5563"/>
          <w:sz w:val="18"/>
        </w:rPr>
        <w:t>Meta Title: Lockout Tagout Protocols for Global Fleet Compliance</w:t>
        <w:br/>
      </w:r>
      <w:r>
        <w:rPr>
          <w:rFonts w:ascii="Arial" w:hAnsi="Arial"/>
          <w:i/>
          <w:color w:val="4B5563"/>
          <w:sz w:val="18"/>
        </w:rPr>
        <w:t>Meta Description: Secure fleet maintenance using LOTO protocols. Comply with OSHA and HSE standards, isolate stored energy, and protect transport operations from downtime.</w:t>
      </w:r>
    </w:p>
    <w:p/>
    <w:p>
      <w:pPr>
        <w:spacing w:after="160" w:line="276" w:lineRule="auto"/>
      </w:pPr>
      <w:r>
        <w:t>Unplanned machinery activation during routine maintenance endangers technicians and halts freight movement. When transport equipment starts unexpectedly, workers face electrocution, severe injury, or death. Implementing lockout and tagout protocols neutralizes these hazards, creating a protected workplace while keeping transit schedules on track.</w:t>
      </w:r>
    </w:p>
    <w:p>
      <w:pPr>
        <w:pStyle w:val="Heading2"/>
      </w:pPr>
      <w:r>
        <w:t>Energy Isolation Mechanisms</w:t>
      </w:r>
    </w:p>
    <w:p>
      <w:pPr>
        <w:spacing w:after="160" w:line="276" w:lineRule="auto"/>
      </w:pPr>
      <w:r>
        <w:t>Preventing accidental energy release requires complete isolation across all operational systems. Equipment maintenance involves five primary energy forms: hydraulic, mechanical, thermal, electrical, and pneumatic. Specialized lockout tagout kits supply physical equipment to cushion extreme temperatures, clamp moving parts, disconnect electrical circuits, and shut valves. Using these specialized kits prevents machinery damage, stops unexpected energy discharges, and wards off costly operational downtime before it starts.</w:t>
      </w:r>
    </w:p>
    <w:p>
      <w:pPr>
        <w:pStyle w:val="Heading2"/>
      </w:pPr>
      <w:r>
        <w:t>Hardware Devices and Physical Controls</w:t>
      </w:r>
    </w:p>
    <w:p>
      <w:pPr>
        <w:spacing w:after="160" w:line="276" w:lineRule="auto"/>
      </w:pPr>
      <w:r>
        <w:t>Safety enforcement relies on two physical tools: lockout mechanisms and tagout indicators.</w:t>
      </w:r>
    </w:p>
    <w:p>
      <w:pPr>
        <w:spacing w:after="160" w:line="276" w:lineRule="auto"/>
      </w:pPr>
      <w:r>
        <w:t>Lockout hardware secures energy isolation components in safe or off positions. Using padlocks, hasps, and dedicated tags, maintenance personnel physically block switches and controls, establishing a mechanical barrier that prevents unintentional activation of fleet machinery and transport assets.</w:t>
      </w:r>
    </w:p>
    <w:p>
      <w:pPr>
        <w:spacing w:after="160" w:line="276" w:lineRule="auto"/>
      </w:pPr>
      <w:r>
        <w:t>Tagout devices serve as durable visual warnings attached directly to lockout hardware. These labels state that energy isolation is active, displaying the reason for the procedure, expected duration, and the name of the technician executing the work.</w:t>
      </w:r>
    </w:p>
    <w:p>
      <w:pPr>
        <w:pStyle w:val="Heading2"/>
      </w:pPr>
      <w:r>
        <w:t>The Isolation Sequence</w:t>
      </w:r>
    </w:p>
    <w:p>
      <w:pPr>
        <w:spacing w:after="160" w:line="276" w:lineRule="auto"/>
      </w:pPr>
      <w:r>
        <w:t>Energy isolation follows a clear sequence. Before touching any machinery, technicians identify every connected energy source, then shut down equipment using designated controls. Applying physical locks and tags directly to isolation components prevents inadvertent re-energization during maintenance. Completing this process allows personnel to service transport assets safely, supporting efficient logistics operations.</w:t>
      </w:r>
    </w:p>
    <w:p>
      <w:pPr>
        <w:pStyle w:val="Heading2"/>
      </w:pPr>
      <w:r>
        <w:t>Regulatory Compliance and Auditing Standards</w:t>
      </w:r>
    </w:p>
    <w:p>
      <w:pPr>
        <w:spacing w:after="160" w:line="276" w:lineRule="auto"/>
      </w:pPr>
      <w:r>
        <w:t>Regulatory authorities enforce strict mandates to safeguard workforce safety. In the United States, OSHA sets safety mandates, while UK operations fall under the jurisdiction of the Health and Safety Executive (HSE).</w:t>
      </w:r>
    </w:p>
    <w:p>
      <w:pPr>
        <w:spacing w:after="160" w:line="276" w:lineRule="auto"/>
      </w:pPr>
      <w:r>
        <w:t>Organizations must develop and implement written lockout/tagout procedures, supported by comprehensive training for staff directly affected by LOTO protocols as well as technicians performing physical lockouts. Regulators also mandate regular auditing and inspections to verify that all isolation hardware remains current and properly equipped for reliable power isolation.</w:t>
      </w:r>
    </w:p>
    <w:p>
      <w:pPr>
        <w:pStyle w:val="Heading2"/>
      </w:pPr>
      <w:r>
        <w:t>Operational and Financial Consequences</w:t>
      </w:r>
    </w:p>
    <w:p>
      <w:pPr>
        <w:spacing w:after="160" w:line="276" w:lineRule="auto"/>
      </w:pPr>
      <w:r>
        <w:t>Neglecting lockout and tagout standards exposes transport companies to severe operational and financial liabilities.</w:t>
      </w:r>
    </w:p>
    <w:p>
      <w:pPr>
        <w:spacing w:after="160" w:line="276" w:lineRule="auto"/>
      </w:pPr>
      <w:r>
        <w:t>Individual employees face potential legal liabilities following safety failures. For the organization, non-compliance triggers steep fines and regulatory penalties that inflate transportation budgets. Workplace injuries lead to substantial medical expenses, covering emergency treatment, hospitalization, and long-term rehabilitation. Beyond direct financial payouts, equipment accidents trigger production downtime and schedule delays across supply networks, damaging credibility with financial backers, clients, enforcement authorities, and industry partners.</w:t>
      </w:r>
    </w:p>
    <w:p>
      <w:pPr>
        <w:pStyle w:val="Heading2"/>
      </w:pPr>
      <w:r>
        <w:t>Strategic Integration for Logistics Leaders</w:t>
      </w:r>
    </w:p>
    <w:p>
      <w:pPr>
        <w:spacing w:after="160" w:line="276" w:lineRule="auto"/>
      </w:pPr>
      <w:r>
        <w:t>Although operational managers often view lockout/tagout protocols as a burdensome administrative delay, physical compliance forms the foundation of an incident-free, efficient workplace.</w:t>
      </w:r>
    </w:p>
    <w:p>
      <w:pPr>
        <w:spacing w:after="160" w:line="276" w:lineRule="auto"/>
      </w:pPr>
      <w:r>
        <w:t>Proper LOTO kits give operators the physical tools needed to meet OSHA and HSE standards, preventing casualties and equipment damage. Establishing strict energy isolation compliance enables leadership to focus on digital logistics optimization and securing favorable freight rates.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7415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1182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293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