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11827"/>
          <w:sz w:val="40"/>
        </w:rPr>
        <w:t>Quantum Processing and AI Supercomputers in Logistics</w:t>
      </w:r>
    </w:p>
    <w:p>
      <w:pPr>
        <w:spacing w:after="360"/>
      </w:pPr>
      <w:r>
        <w:rPr>
          <w:rFonts w:ascii="Arial" w:hAnsi="Arial"/>
          <w:i/>
          <w:color w:val="4B5563"/>
          <w:sz w:val="18"/>
        </w:rPr>
        <w:t>Meta Title: Quantum Computing and AI in Global Logistics</w:t>
        <w:br/>
      </w:r>
      <w:r>
        <w:rPr>
          <w:rFonts w:ascii="Arial" w:hAnsi="Arial"/>
          <w:i/>
          <w:color w:val="4B5563"/>
          <w:sz w:val="18"/>
        </w:rPr>
        <w:t>Meta Description: SeaRates explores quantum processing, NVIDIA supercomputers, topological qubits, and algorithms solving the traveling salesman problem in freight routing.</w:t>
        <w:br/>
      </w:r>
    </w:p>
    <w:p>
      <w:pPr>
        <w:spacing w:after="160" w:line="276" w:lineRule="auto"/>
      </w:pPr>
      <w:r>
        <w:rPr>
          <w:rFonts w:ascii="Arial" w:hAnsi="Arial"/>
          <w:color w:val="111827"/>
          <w:sz w:val="22"/>
        </w:rPr>
        <w:t>In 2018, SeaRates published an initial commentary on quantum computing, pointing to early work by Google and IBM alongside research from Alibaba. The premise was straightforward: advanced processing would eventually alter how cargo moves globally.</w:t>
      </w:r>
    </w:p>
    <w:p>
      <w:pPr>
        <w:spacing w:after="160" w:line="276" w:lineRule="auto"/>
      </w:pPr>
      <w:r>
        <w:rPr>
          <w:rFonts w:ascii="Arial" w:hAnsi="Arial"/>
          <w:color w:val="111827"/>
          <w:sz w:val="22"/>
        </w:rPr>
        <w:t>Years later, the conversation has changed. Social feeds like LinkedIn are saturated with promotional pitches asking shippers to trust artificial intelligence products. Yet global trade remains physical at its core. A supply network operates under a strict constraint where total operational capacity is bound by its weakest participant. Small regional forwarders and major carriers must function alongside port terminals.</w:t>
      </w:r>
    </w:p>
    <w:p>
      <w:pPr>
        <w:spacing w:after="160" w:line="276" w:lineRule="auto"/>
      </w:pPr>
      <w:r>
        <w:rPr>
          <w:rFonts w:ascii="Arial" w:hAnsi="Arial"/>
          <w:color w:val="111827"/>
          <w:sz w:val="22"/>
        </w:rPr>
        <w:t>Since 2010, SeaRates has focused on building practical automation for freight forwarders and shippers. The platform provides APIs and web applications for instant freight rate calculations, cargo tracking, digital booking, and automated document processing. Through the Digital Freight Alliance, independent forwarders access tools that connect their systems with major ocean carriers, strengthening individual links across the supply network.</w:t>
      </w:r>
    </w:p>
    <w:p>
      <w:pPr>
        <w:pStyle w:val="Heading2"/>
        <w:spacing w:before="280" w:after="120"/>
      </w:pPr>
      <w:r>
        <w:rPr>
          <w:rFonts w:ascii="Arial" w:hAnsi="Arial"/>
          <w:b/>
          <w:color w:val="1F2937"/>
          <w:sz w:val="28"/>
        </w:rPr>
        <w:t>Hardware Jump: GPU Supercomputers and Physical AI</w:t>
      </w:r>
    </w:p>
    <w:p>
      <w:pPr>
        <w:spacing w:after="160" w:line="276" w:lineRule="auto"/>
      </w:pPr>
      <w:r>
        <w:rPr>
          <w:rFonts w:ascii="Arial" w:hAnsi="Arial"/>
          <w:color w:val="111827"/>
          <w:sz w:val="22"/>
        </w:rPr>
        <w:t>Computing is undergoing its first fundamental restructuring in six decades. NVIDIA CEO Jensen Huang described this shift as a move toward GPU supercomputers that act as intelligence factories. Data is no longer merely stored; it is converted into actionable decisions.</w:t>
      </w:r>
    </w:p>
    <w:p>
      <w:pPr>
        <w:spacing w:after="160" w:line="276" w:lineRule="auto"/>
      </w:pPr>
      <w:r>
        <w:rPr>
          <w:rFonts w:ascii="Arial" w:hAnsi="Arial"/>
          <w:color w:val="111827"/>
          <w:sz w:val="22"/>
        </w:rPr>
        <w:t>The speed of hardware development explains this shift. Moore's Law delivered a 100-fold increase in computing power over ten years. During that same decade, AI processing expanded by a factor of 100,000. This acceleration brings digital twins into physical industries. Complex shipping operations can now be modeled digitally to optimize and improve physical operations.</w:t>
      </w:r>
    </w:p>
    <w:p>
      <w:pPr>
        <w:pStyle w:val="Heading2"/>
        <w:spacing w:before="280" w:after="120"/>
      </w:pPr>
      <w:r>
        <w:rPr>
          <w:rFonts w:ascii="Arial" w:hAnsi="Arial"/>
          <w:b/>
          <w:color w:val="1F2937"/>
          <w:sz w:val="28"/>
        </w:rPr>
        <w:t>Google Willow and Microsoft Majorana 1</w:t>
      </w:r>
    </w:p>
    <w:p>
      <w:pPr>
        <w:spacing w:after="160" w:line="276" w:lineRule="auto"/>
      </w:pPr>
      <w:r>
        <w:rPr>
          <w:rFonts w:ascii="Arial" w:hAnsi="Arial"/>
          <w:color w:val="111827"/>
          <w:sz w:val="22"/>
        </w:rPr>
        <w:t>Quantum hardware is reaching practical thresholds through two distinct engineering approaches.</w:t>
      </w:r>
    </w:p>
    <w:p>
      <w:pPr>
        <w:spacing w:after="160" w:line="276" w:lineRule="auto"/>
      </w:pPr>
      <w:r>
        <w:rPr>
          <w:rFonts w:ascii="Arial" w:hAnsi="Arial"/>
          <w:color w:val="111827"/>
          <w:sz w:val="22"/>
        </w:rPr>
        <w:t>Google developed the Willow chip, equipped with 105 qubits and working quantum error correction. In benchmark tests, Willow completed calculations in minutes that would demand years from standard supercomputers. This result offers a clear demonstration of practical quantum advantage.</w:t>
      </w:r>
    </w:p>
    <w:p>
      <w:pPr>
        <w:spacing w:after="160" w:line="276" w:lineRule="auto"/>
      </w:pPr>
      <w:r>
        <w:rPr>
          <w:rFonts w:ascii="Arial" w:hAnsi="Arial"/>
          <w:color w:val="111827"/>
          <w:sz w:val="22"/>
        </w:rPr>
        <w:t>Microsoft pursued a different architectural path with its Majorana 1 chip. Built on 17 years of research, the team isolated a stable state of matter to produce error-resistant topological qubits. Although Majorana 1 currently operates with eight qubits, its topological core is engineered to scale toward one million qubits over time.</w:t>
      </w:r>
    </w:p>
    <w:p>
      <w:pPr>
        <w:pStyle w:val="Heading2"/>
        <w:spacing w:before="280" w:after="120"/>
      </w:pPr>
      <w:r>
        <w:rPr>
          <w:rFonts w:ascii="Arial" w:hAnsi="Arial"/>
          <w:b/>
          <w:color w:val="1F2937"/>
          <w:sz w:val="28"/>
        </w:rPr>
        <w:t>Routing Millions of Nodes in Seconds</w:t>
      </w:r>
    </w:p>
    <w:p>
      <w:pPr>
        <w:spacing w:after="160" w:line="276" w:lineRule="auto"/>
      </w:pPr>
      <w:r>
        <w:rPr>
          <w:rFonts w:ascii="Arial" w:hAnsi="Arial"/>
          <w:color w:val="111827"/>
          <w:sz w:val="22"/>
        </w:rPr>
        <w:t>Combining AI supercomputers with quantum processing creates new capabilities for global freight routing.</w:t>
      </w:r>
    </w:p>
    <w:p>
      <w:pPr>
        <w:spacing w:after="160" w:line="276" w:lineRule="auto"/>
      </w:pPr>
      <w:r>
        <w:rPr>
          <w:rFonts w:ascii="Arial" w:hAnsi="Arial"/>
          <w:color w:val="111827"/>
          <w:sz w:val="22"/>
        </w:rPr>
        <w:t>Consider the traveling salesman problem applied to international shipping. Standard supercomputers struggle to calculate optimal routes when coordinates multiply into thousands of variables. A quantum algorithm can evaluate millions of nodes in seconds, factoring weather patterns and geopolitical hazards alongside multimodal transfers.</w:t>
      </w:r>
    </w:p>
    <w:p>
      <w:pPr>
        <w:spacing w:after="160" w:line="276" w:lineRule="auto"/>
      </w:pPr>
      <w:r>
        <w:rPr>
          <w:rFonts w:ascii="Arial" w:hAnsi="Arial"/>
          <w:color w:val="111827"/>
          <w:sz w:val="22"/>
        </w:rPr>
        <w:t>This capacity changes risk modeling. Supply chains can simulate disruptions from trade restrictions or pandemics before delays occur. Precise route optimization also cuts vessel fuel consumption, lowering operating costs and carbon output.</w:t>
      </w:r>
    </w:p>
    <w:p>
      <w:pPr>
        <w:spacing w:after="160" w:line="276" w:lineRule="auto"/>
      </w:pPr>
      <w:r>
        <w:rPr>
          <w:rFonts w:ascii="Arial" w:hAnsi="Arial"/>
          <w:color w:val="111827"/>
          <w:sz w:val="22"/>
        </w:rPr>
        <w:t>Logistics has always been an exercise in applied logic. As computing models evolve, the focus remains on building reliable tools that simplify trade for every participant.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