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111827"/>
          <w:sz w:val="40"/>
        </w:rPr>
        <w:t>STCW Training and Maritime Supply Chain Resilience</w:t>
      </w:r>
    </w:p>
    <w:p>
      <w:pPr>
        <w:spacing w:after="360"/>
      </w:pPr>
      <w:r>
        <w:rPr>
          <w:rFonts w:ascii="Arial" w:hAnsi="Arial"/>
          <w:b/>
          <w:i/>
          <w:color w:val="4B5563"/>
          <w:sz w:val="18"/>
        </w:rPr>
        <w:t xml:space="preserve">Meta Title: </w:t>
      </w:r>
      <w:r>
        <w:rPr>
          <w:rFonts w:ascii="Arial" w:hAnsi="Arial"/>
          <w:i/>
          <w:color w:val="4B5563"/>
          <w:sz w:val="18"/>
        </w:rPr>
        <w:t>STCW Safety Standards for Seafarers &amp; Maritime Logistics</w:t>
        <w:br/>
      </w:r>
      <w:r>
        <w:rPr>
          <w:rFonts w:ascii="Arial" w:hAnsi="Arial"/>
          <w:b/>
          <w:i/>
          <w:color w:val="4B5563"/>
          <w:sz w:val="18"/>
        </w:rPr>
        <w:t xml:space="preserve">Meta Description: </w:t>
      </w:r>
      <w:r>
        <w:rPr>
          <w:rFonts w:ascii="Arial" w:hAnsi="Arial"/>
          <w:i/>
          <w:color w:val="4B5563"/>
          <w:sz w:val="18"/>
        </w:rPr>
        <w:t>FMTC Safety delivers IMO STCW convention compliance through basic safety training, practical drills, and ILT inland courses to protect seafarers and cargo.</w:t>
      </w:r>
    </w:p>
    <w:p>
      <w:pPr>
        <w:spacing w:before="280" w:after="120"/>
      </w:pPr>
      <w:r>
        <w:rPr>
          <w:rFonts w:ascii="Arial" w:hAnsi="Arial"/>
          <w:b/>
          <w:color w:val="1F2937"/>
          <w:sz w:val="28"/>
        </w:rPr>
        <w:t>Standardized Rules Across Ocean Freight</w:t>
      </w:r>
    </w:p>
    <w:p>
      <w:pPr>
        <w:spacing w:after="160"/>
      </w:pPr>
      <w:r>
        <w:rPr>
          <w:rFonts w:ascii="Arial" w:hAnsi="Arial"/>
          <w:color w:val="374151"/>
          <w:sz w:val="22"/>
        </w:rPr>
        <w:t>Thousands of cargo vessels cross international ocean routes every day to move raw commodities and finished products. Ocean freight keeps global markets operating, but ships face harsh conditions where equipment failure or severe storms happen with little warning.</w:t>
      </w:r>
    </w:p>
    <w:p>
      <w:pPr>
        <w:spacing w:before="280" w:after="120"/>
      </w:pPr>
      <w:r>
        <w:rPr>
          <w:rFonts w:ascii="Arial" w:hAnsi="Arial"/>
          <w:b/>
          <w:color w:val="1F2937"/>
          <w:sz w:val="28"/>
        </w:rPr>
        <w:t>Core Modules and Emergency Response</w:t>
      </w:r>
    </w:p>
    <w:p>
      <w:pPr>
        <w:spacing w:after="160"/>
      </w:pPr>
      <w:r>
        <w:rPr>
          <w:rFonts w:ascii="Arial" w:hAnsi="Arial"/>
          <w:color w:val="374151"/>
          <w:sz w:val="22"/>
        </w:rPr>
        <w:t>The International Maritime Organization sets seafarer competency standards under the Standards of Training, Certification and Watchkeeping regime. Full IMO STCW convention compliance requires crew members to complete certified instruction before taking watch on commercial vessels. FMTC Safety accredited programs cover these requirements through classroom instruction and practical drills.</w:t>
      </w:r>
    </w:p>
    <w:p>
      <w:pPr>
        <w:spacing w:after="160"/>
      </w:pPr>
      <w:r>
        <w:rPr>
          <w:rFonts w:ascii="Arial" w:hAnsi="Arial"/>
          <w:color w:val="374151"/>
          <w:sz w:val="22"/>
        </w:rPr>
        <w:t>Four core modules form STCW basic safety training:</w:t>
      </w:r>
    </w:p>
    <w:p>
      <w:pPr>
        <w:pStyle w:val="ListBullet"/>
        <w:spacing w:after="80"/>
      </w:pPr>
      <w:r>
        <w:rPr>
          <w:rFonts w:ascii="Arial" w:hAnsi="Arial"/>
          <w:color w:val="374151"/>
          <w:sz w:val="22"/>
        </w:rPr>
        <w:t>Personal Survival Techniques teaches crew how to launch lifeboats and operate emergency gear.</w:t>
      </w:r>
    </w:p>
    <w:p>
      <w:pPr>
        <w:pStyle w:val="ListBullet"/>
        <w:spacing w:after="80"/>
      </w:pPr>
      <w:r>
        <w:rPr>
          <w:rFonts w:ascii="Arial" w:hAnsi="Arial"/>
          <w:color w:val="374151"/>
          <w:sz w:val="22"/>
        </w:rPr>
        <w:t>Fire Prevention and Firefighting covers fire containment and extinguishing onboard fires effectively.</w:t>
      </w:r>
    </w:p>
    <w:p>
      <w:pPr>
        <w:pStyle w:val="ListBullet"/>
        <w:spacing w:after="80"/>
      </w:pPr>
      <w:r>
        <w:rPr>
          <w:rFonts w:ascii="Arial" w:hAnsi="Arial"/>
          <w:color w:val="374151"/>
          <w:sz w:val="22"/>
        </w:rPr>
        <w:t>Elementary First Aid trains mariners to treat trauma injuries immediately at sea.</w:t>
      </w:r>
    </w:p>
    <w:p>
      <w:pPr>
        <w:pStyle w:val="ListBullet"/>
        <w:spacing w:after="80"/>
      </w:pPr>
      <w:r>
        <w:rPr>
          <w:rFonts w:ascii="Arial" w:hAnsi="Arial"/>
          <w:color w:val="374151"/>
          <w:sz w:val="22"/>
        </w:rPr>
        <w:t>Personal Safety and Social Responsibilities builds teamwork and alertness on board.</w:t>
      </w:r>
    </w:p>
    <w:p>
      <w:pPr>
        <w:spacing w:after="160"/>
      </w:pPr>
      <w:r>
        <w:rPr>
          <w:rFonts w:ascii="Arial" w:hAnsi="Arial"/>
          <w:color w:val="374151"/>
          <w:sz w:val="22"/>
        </w:rPr>
        <w:t>Hands-on repetition builds emergency response &amp; survival techniques. When emergency situations occur at sea, crew members must execute safety procedures without delay. Fast action keeps minor incidents from turning into severe losses. SeaRates IT tools support vessel operations by giving managers real-time freight rates visibility and shipment tracking data across ocean routes.</w:t>
      </w:r>
    </w:p>
    <w:p>
      <w:pPr>
        <w:spacing w:before="280" w:after="120"/>
      </w:pPr>
      <w:r>
        <w:rPr>
          <w:rFonts w:ascii="Arial" w:hAnsi="Arial"/>
          <w:b/>
          <w:color w:val="1F2937"/>
          <w:sz w:val="28"/>
        </w:rPr>
        <w:t>Inland Waterways and Flexible Class Formats</w:t>
      </w:r>
    </w:p>
    <w:p>
      <w:pPr>
        <w:spacing w:after="160"/>
      </w:pPr>
      <w:r>
        <w:rPr>
          <w:rFonts w:ascii="Arial" w:hAnsi="Arial"/>
          <w:color w:val="374151"/>
          <w:sz w:val="22"/>
        </w:rPr>
        <w:t>Maritime work expands beyond deep sea operations into river systems and coastal trade. Specialist ILT programs prepare officers for inland and coastal navigation rules. To keep active crews certified without pulling vessels out of service, FMTC Safety blends online theory modules with practical training at dedicated facilities. Mariners study regulatory coursework remotely before completing physical drills on site.</w:t>
      </w:r>
    </w:p>
    <w:p>
      <w:pPr>
        <w:spacing w:before="280" w:after="120"/>
      </w:pPr>
      <w:r>
        <w:rPr>
          <w:rFonts w:ascii="Arial" w:hAnsi="Arial"/>
          <w:b/>
          <w:color w:val="1F2937"/>
          <w:sz w:val="28"/>
        </w:rPr>
        <w:t>Marine Ecosystems and Cargo Protection</w:t>
      </w:r>
    </w:p>
    <w:p>
      <w:pPr>
        <w:spacing w:after="160"/>
      </w:pPr>
      <w:r>
        <w:rPr>
          <w:rFonts w:ascii="Arial" w:hAnsi="Arial"/>
          <w:color w:val="374151"/>
          <w:sz w:val="22"/>
        </w:rPr>
        <w:t>Preventing maritime accidents directly strengthens maritime supply chain resilience. Unscheduled vessel delays delay shipments and increase costs for shippers. Trained crews maintain strict equipment checks that reduce shipboard incidents and protect cargo from damage.</w:t>
      </w:r>
    </w:p>
    <w:p>
      <w:pPr>
        <w:spacing w:after="160"/>
      </w:pPr>
      <w:r>
        <w:rPr>
          <w:rFonts w:ascii="Arial" w:hAnsi="Arial"/>
          <w:color w:val="374151"/>
          <w:sz w:val="22"/>
        </w:rPr>
        <w:t>Environmental safety depends on crew preparedness. Maritime accidents that cause pollution damage marine ecosystems and harm ocean habitats. Proper training reduces operational risks while meeting international shipping regulations. The SeaRates blog on sustainable shipping details how technological tools and green practices work alongside trained crews to lower environmental impact.</w:t>
      </w:r>
    </w:p>
    <w:p>
      <w:pPr>
        <w:spacing w:before="280" w:after="120"/>
      </w:pPr>
      <w:r>
        <w:rPr>
          <w:rFonts w:ascii="Arial" w:hAnsi="Arial"/>
          <w:b/>
          <w:color w:val="1F2937"/>
          <w:sz w:val="28"/>
        </w:rPr>
        <w:t>Industry Guidance Under Michel Hogervorst</w:t>
      </w:r>
    </w:p>
    <w:p>
      <w:pPr>
        <w:spacing w:after="160"/>
      </w:pPr>
      <w:r>
        <w:rPr>
          <w:rFonts w:ascii="Arial" w:hAnsi="Arial"/>
          <w:color w:val="374151"/>
          <w:sz w:val="22"/>
        </w:rPr>
        <w:t>FMTC Safety operates under Managing Director Michel Hogervorst, who brings over 15 years of safety training experience across maritime, offshore, wind, and fire sectors. Certified instruction gives seafarers practical skills to maintain safety standards across unpredictable marine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